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BA194">
      <w:pPr>
        <w:widowControl/>
        <w:kinsoku w:val="0"/>
        <w:autoSpaceDE w:val="0"/>
        <w:autoSpaceDN w:val="0"/>
        <w:adjustRightInd w:val="0"/>
        <w:snapToGrid w:val="0"/>
        <w:spacing w:line="463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highlight w:val="none"/>
          <w:lang w:eastAsia="en-US"/>
        </w:rPr>
      </w:pPr>
    </w:p>
    <w:p w14:paraId="71EACE64">
      <w:pPr>
        <w:widowControl/>
        <w:kinsoku w:val="0"/>
        <w:autoSpaceDE w:val="0"/>
        <w:autoSpaceDN w:val="0"/>
        <w:adjustRightInd w:val="0"/>
        <w:snapToGrid w:val="0"/>
        <w:spacing w:before="133" w:line="210" w:lineRule="auto"/>
        <w:jc w:val="center"/>
        <w:textAlignment w:val="baseline"/>
        <w:outlineLvl w:val="0"/>
        <w:rPr>
          <w:rFonts w:hint="eastAsia" w:ascii="仿宋_GB2312" w:hAnsi="仿宋_GB2312" w:eastAsia="仿宋_GB2312" w:cs="仿宋_GB2312"/>
          <w:snapToGrid w:val="0"/>
          <w:color w:val="000000"/>
          <w:kern w:val="0"/>
          <w:sz w:val="41"/>
          <w:szCs w:val="41"/>
          <w:highlight w:val="none"/>
          <w:lang w:eastAsia="en-US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41"/>
          <w:szCs w:val="41"/>
          <w:highlight w:val="none"/>
          <w:lang w:eastAsia="en-US"/>
        </w:rPr>
        <w:t>自贡市第四人民医院报价一览表</w:t>
      </w:r>
    </w:p>
    <w:p w14:paraId="48454B30">
      <w:pPr>
        <w:pStyle w:val="4"/>
        <w:widowControl/>
        <w:spacing w:before="288" w:line="211" w:lineRule="auto"/>
        <w:ind w:left="15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pacing w:val="5"/>
          <w:sz w:val="24"/>
          <w:szCs w:val="24"/>
          <w:highlight w:val="none"/>
        </w:rPr>
        <w:t>致：自贡市第四人民医院</w:t>
      </w:r>
    </w:p>
    <w:p w14:paraId="62C54AC5">
      <w:pPr>
        <w:pStyle w:val="4"/>
        <w:widowControl/>
        <w:spacing w:before="145" w:line="212" w:lineRule="auto"/>
        <w:ind w:left="15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pacing w:val="-4"/>
          <w:sz w:val="24"/>
          <w:szCs w:val="24"/>
          <w:highlight w:val="none"/>
        </w:rPr>
        <w:t>供应商</w:t>
      </w:r>
      <w:r>
        <w:rPr>
          <w:rFonts w:hint="eastAsia" w:ascii="仿宋_GB2312" w:hAnsi="仿宋_GB2312" w:eastAsia="仿宋_GB2312" w:cs="仿宋_GB2312"/>
          <w:spacing w:val="-57"/>
          <w:sz w:val="24"/>
          <w:szCs w:val="24"/>
          <w:highlight w:val="none"/>
        </w:rPr>
        <w:t xml:space="preserve"> </w:t>
      </w:r>
      <w:r>
        <w:rPr>
          <w:rFonts w:hint="eastAsia" w:ascii="仿宋_GB2312" w:hAnsi="仿宋_GB2312" w:eastAsia="仿宋_GB2312" w:cs="仿宋_GB2312"/>
          <w:spacing w:val="-4"/>
          <w:sz w:val="24"/>
          <w:szCs w:val="24"/>
          <w:highlight w:val="none"/>
        </w:rPr>
        <w:t>(加盖公章)：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u w:val="single" w:color="auto"/>
        </w:rPr>
        <w:t xml:space="preserve">          </w:t>
      </w:r>
      <w:r>
        <w:rPr>
          <w:rFonts w:hint="eastAsia" w:ascii="仿宋_GB2312" w:hAnsi="仿宋_GB2312" w:eastAsia="仿宋_GB2312" w:cs="仿宋_GB2312"/>
          <w:color w:val="auto"/>
          <w:spacing w:val="4"/>
          <w:w w:val="102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pacing w:val="4"/>
          <w:w w:val="102"/>
          <w:sz w:val="24"/>
          <w:szCs w:val="24"/>
          <w:highlight w:val="none"/>
        </w:rPr>
        <w:t>报价人签名</w:t>
      </w:r>
      <w:r>
        <w:rPr>
          <w:rFonts w:hint="eastAsia" w:ascii="仿宋_GB2312" w:hAnsi="仿宋_GB2312" w:eastAsia="仿宋_GB2312" w:cs="仿宋_GB2312"/>
          <w:color w:val="auto"/>
          <w:spacing w:val="4"/>
          <w:w w:val="102"/>
          <w:sz w:val="24"/>
          <w:szCs w:val="24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pacing w:val="4"/>
          <w:w w:val="102"/>
          <w:sz w:val="24"/>
          <w:szCs w:val="24"/>
          <w:highlight w:val="none"/>
          <w:lang w:val="en-US" w:eastAsia="zh-CN"/>
        </w:rPr>
        <w:t>联系方式</w:t>
      </w:r>
      <w:r>
        <w:rPr>
          <w:rFonts w:hint="eastAsia" w:ascii="仿宋_GB2312" w:hAnsi="仿宋_GB2312" w:eastAsia="仿宋_GB2312" w:cs="仿宋_GB2312"/>
          <w:color w:val="auto"/>
          <w:spacing w:val="4"/>
          <w:w w:val="102"/>
          <w:sz w:val="24"/>
          <w:szCs w:val="24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pacing w:val="4"/>
          <w:w w:val="102"/>
          <w:sz w:val="24"/>
          <w:szCs w:val="24"/>
          <w:highlight w:val="none"/>
        </w:rPr>
        <w:t>：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u w:val="single" w:color="auto"/>
        </w:rPr>
        <w:t xml:space="preserve">                          </w:t>
      </w:r>
    </w:p>
    <w:p w14:paraId="05CF0346">
      <w:pPr>
        <w:pStyle w:val="4"/>
        <w:widowControl/>
        <w:spacing w:before="146" w:line="307" w:lineRule="auto"/>
        <w:ind w:left="15" w:right="75" w:firstLine="576"/>
        <w:jc w:val="both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pacing w:val="-2"/>
          <w:sz w:val="24"/>
          <w:szCs w:val="24"/>
          <w:highlight w:val="none"/>
        </w:rPr>
        <w:t>我单位报价根据贵单位提供的要求， 我方对项目的具</w:t>
      </w:r>
      <w:r>
        <w:rPr>
          <w:rFonts w:hint="eastAsia" w:ascii="仿宋_GB2312" w:hAnsi="仿宋_GB2312" w:eastAsia="仿宋_GB2312" w:cs="仿宋_GB2312"/>
          <w:spacing w:val="12"/>
          <w:sz w:val="24"/>
          <w:szCs w:val="24"/>
          <w:highlight w:val="none"/>
        </w:rPr>
        <w:t>体需求及工作内容进行了详细研究，并结合实际情况，特此提供以下报价</w:t>
      </w:r>
      <w:r>
        <w:rPr>
          <w:rFonts w:hint="eastAsia" w:ascii="仿宋_GB2312" w:hAnsi="仿宋_GB2312" w:eastAsia="仿宋_GB2312" w:cs="仿宋_GB2312"/>
          <w:spacing w:val="-14"/>
          <w:sz w:val="24"/>
          <w:szCs w:val="24"/>
          <w:highlight w:val="none"/>
        </w:rPr>
        <w:t>说明：</w:t>
      </w:r>
    </w:p>
    <w:p w14:paraId="284DAAF1">
      <w:pPr>
        <w:pStyle w:val="4"/>
        <w:widowControl/>
        <w:spacing w:before="1" w:line="307" w:lineRule="auto"/>
        <w:ind w:left="18" w:right="76" w:firstLine="573"/>
        <w:rPr>
          <w:rFonts w:hint="eastAsia" w:ascii="仿宋_GB2312" w:hAnsi="仿宋_GB2312" w:eastAsia="仿宋_GB2312" w:cs="仿宋_GB2312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pacing w:val="12"/>
          <w:sz w:val="24"/>
          <w:szCs w:val="24"/>
          <w:highlight w:val="none"/>
        </w:rPr>
        <w:t>我方承诺在满足项目需求文件的前提下提供服务，并确保按照贵方要</w:t>
      </w:r>
      <w:r>
        <w:rPr>
          <w:rFonts w:hint="eastAsia" w:ascii="仿宋_GB2312" w:hAnsi="仿宋_GB2312" w:eastAsia="仿宋_GB2312" w:cs="仿宋_GB2312"/>
          <w:spacing w:val="2"/>
          <w:sz w:val="24"/>
          <w:szCs w:val="24"/>
          <w:highlight w:val="none"/>
        </w:rPr>
        <w:t>求高质量完成项目的各项工作。</w:t>
      </w:r>
    </w:p>
    <w:p w14:paraId="72706EF5">
      <w:pPr>
        <w:pStyle w:val="4"/>
        <w:widowControl/>
        <w:spacing w:before="15" w:line="310" w:lineRule="auto"/>
        <w:ind w:left="16" w:right="76" w:firstLine="574"/>
        <w:rPr>
          <w:rFonts w:hint="eastAsia" w:ascii="仿宋_GB2312" w:hAnsi="仿宋_GB2312" w:eastAsia="仿宋_GB2312" w:cs="仿宋_GB2312"/>
          <w:spacing w:val="4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spacing w:val="12"/>
          <w:sz w:val="24"/>
          <w:szCs w:val="24"/>
          <w:highlight w:val="none"/>
        </w:rPr>
        <w:t>我方将严格按照贵方的需求文件及合同约定履行责任，保证服务质量</w:t>
      </w:r>
      <w:r>
        <w:rPr>
          <w:rFonts w:hint="eastAsia" w:ascii="仿宋_GB2312" w:hAnsi="仿宋_GB2312" w:eastAsia="仿宋_GB2312" w:cs="仿宋_GB2312"/>
          <w:spacing w:val="4"/>
          <w:sz w:val="24"/>
          <w:szCs w:val="24"/>
          <w:highlight w:val="none"/>
        </w:rPr>
        <w:t>和工作进度，确保项目的顺利实施和及时交付。</w:t>
      </w:r>
    </w:p>
    <w:tbl>
      <w:tblPr>
        <w:tblStyle w:val="8"/>
        <w:tblW w:w="5386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907"/>
        <w:gridCol w:w="4017"/>
        <w:gridCol w:w="703"/>
        <w:gridCol w:w="534"/>
        <w:gridCol w:w="644"/>
        <w:gridCol w:w="351"/>
        <w:gridCol w:w="666"/>
        <w:gridCol w:w="629"/>
        <w:gridCol w:w="681"/>
      </w:tblGrid>
      <w:tr w14:paraId="1EF7AE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000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1A02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133" w:line="210" w:lineRule="auto"/>
              <w:jc w:val="center"/>
              <w:textAlignment w:val="baseline"/>
              <w:outlineLvl w:val="0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snapToGrid w:val="0"/>
                <w:color w:val="000000"/>
                <w:spacing w:val="5"/>
                <w:kern w:val="0"/>
                <w:sz w:val="21"/>
                <w:szCs w:val="21"/>
                <w:highlight w:val="none"/>
                <w:lang w:val="en-US" w:eastAsia="en-US" w:bidi="ar-SA"/>
              </w:rPr>
              <w:t>自贡市第四人民报价一览表</w:t>
            </w:r>
          </w:p>
        </w:tc>
      </w:tr>
      <w:tr w14:paraId="7E3C08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E9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0"/>
                <w:highlight w:val="none"/>
                <w:lang w:val="en-US" w:eastAsia="zh-CN"/>
              </w:rPr>
              <w:t>序号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AB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采购标的名称</w:t>
            </w:r>
          </w:p>
        </w:tc>
        <w:tc>
          <w:tcPr>
            <w:tcW w:w="20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04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6C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计量单位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0A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B38AD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righ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生产</w:t>
            </w:r>
          </w:p>
          <w:p w14:paraId="49672D51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厂家</w:t>
            </w:r>
          </w:p>
        </w:tc>
        <w:tc>
          <w:tcPr>
            <w:tcW w:w="1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351ED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品牌</w:t>
            </w: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7C94A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right="0"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规格</w:t>
            </w:r>
          </w:p>
          <w:p w14:paraId="413A05B2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型号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46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单价(元)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18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小计(元)</w:t>
            </w:r>
          </w:p>
        </w:tc>
      </w:tr>
      <w:tr w14:paraId="03D9F8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1DA09"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96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轮胎充气泵</w:t>
            </w:r>
          </w:p>
        </w:tc>
        <w:tc>
          <w:tcPr>
            <w:tcW w:w="4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7006D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both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充电方式：无线充气；2.充电口：USB Type C;3.配件：3个气嘴、收纳袋、充电线等。4.参照型号：603947080</w:t>
            </w:r>
          </w:p>
          <w:p w14:paraId="34D26C3C">
            <w:pPr>
              <w:pStyle w:val="2"/>
              <w:numPr>
                <w:ilvl w:val="0"/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052830" cy="767080"/>
                  <wp:effectExtent l="0" t="0" r="13970" b="1016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979805" cy="750570"/>
                  <wp:effectExtent l="0" t="0" r="10795" b="1143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11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55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D3961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EC2E6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C8AFE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2D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66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 w14:paraId="6E3C47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4B961"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0"/>
              </w:rPr>
              <w:t>2</w:t>
            </w:r>
          </w:p>
        </w:tc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DE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洗车机</w:t>
            </w:r>
          </w:p>
        </w:tc>
        <w:tc>
          <w:tcPr>
            <w:tcW w:w="4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61A74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类型：高压便携式洗车机；2.配件：枪管、喷水枪、配备高压防爆水管、进水管等3.参照型号：UA125</w:t>
            </w:r>
          </w:p>
          <w:p w14:paraId="4E01C939">
            <w:pPr>
              <w:pStyle w:val="2"/>
              <w:numPr>
                <w:ilvl w:val="0"/>
                <w:numId w:val="0"/>
              </w:numPr>
              <w:ind w:leftChars="0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857250" cy="853440"/>
                  <wp:effectExtent l="0" t="0" r="11430" b="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838835" cy="866140"/>
                  <wp:effectExtent l="0" t="0" r="14605" b="254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E4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DD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4E221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BA878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FAF65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F2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96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 w14:paraId="22A326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53690"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F6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补胎工具套装</w:t>
            </w:r>
          </w:p>
        </w:tc>
        <w:tc>
          <w:tcPr>
            <w:tcW w:w="4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1C947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both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材质：优质金属、橡胶；2.适配：电动车、摩托车辆轮胎；3.工艺：工具表面防锈处理，收纳包防水耐磨，便于随车携带；4.参照型号：501</w:t>
            </w:r>
          </w:p>
          <w:p w14:paraId="222F0DBB">
            <w:pPr>
              <w:pStyle w:val="2"/>
              <w:numPr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721360" cy="962025"/>
                  <wp:effectExtent l="0" t="0" r="10160" b="13335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C6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0D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F9741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63A8B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3DD86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snapToGrid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D5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78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  <w:tr w14:paraId="5886ED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000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FE7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/>
              <w:jc w:val="left"/>
              <w:textAlignment w:val="auto"/>
              <w:rPr>
                <w:rStyle w:val="11"/>
                <w:rFonts w:hint="eastAsia" w:ascii="Times New Roman Italic" w:hAnsi="Times New Roman Italic" w:eastAsia="宋体" w:cs="Times New Roman Italic"/>
                <w:b w:val="0"/>
                <w:bCs/>
                <w:i/>
                <w:iCs/>
                <w:caps w:val="0"/>
                <w:color w:val="0F1115"/>
                <w:spacing w:val="0"/>
                <w:kern w:val="2"/>
                <w:sz w:val="24"/>
                <w:szCs w:val="24"/>
                <w:u w:val="single"/>
                <w:vertAlign w:val="baseline"/>
                <w:lang w:val="en-US" w:eastAsia="zh-CN" w:bidi="ar-SA"/>
              </w:rPr>
            </w:pPr>
            <w:r>
              <w:rPr>
                <w:rStyle w:val="11"/>
                <w:rFonts w:hint="eastAsia" w:ascii="Times New Roman Regular" w:hAnsi="Times New Roman Regular" w:eastAsia="宋体" w:cs="Times New Roman Regular"/>
                <w:b w:val="0"/>
                <w:bCs/>
                <w:i w:val="0"/>
                <w:iCs w:val="0"/>
                <w:caps w:val="0"/>
                <w:color w:val="0F1115"/>
                <w:spacing w:val="0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  <w:t>总计金额：小写</w:t>
            </w:r>
            <w:r>
              <w:rPr>
                <w:rStyle w:val="11"/>
                <w:rFonts w:hint="default" w:ascii="Times New Roman Italic" w:hAnsi="Times New Roman Italic" w:eastAsia="宋体" w:cs="Times New Roman Italic"/>
                <w:b w:val="0"/>
                <w:bCs/>
                <w:i/>
                <w:iCs/>
                <w:caps w:val="0"/>
                <w:color w:val="0F1115"/>
                <w:spacing w:val="0"/>
                <w:kern w:val="2"/>
                <w:sz w:val="24"/>
                <w:szCs w:val="24"/>
                <w:u w:val="single"/>
                <w:vertAlign w:val="baseline"/>
                <w:lang w:val="en-US" w:eastAsia="zh-CN" w:bidi="ar-SA"/>
              </w:rPr>
              <w:t>XXX</w:t>
            </w:r>
            <w:r>
              <w:rPr>
                <w:rStyle w:val="11"/>
                <w:rFonts w:hint="eastAsia" w:ascii="Times New Roman Italic" w:hAnsi="Times New Roman Italic" w:eastAsia="宋体" w:cs="Times New Roman Italic"/>
                <w:b w:val="0"/>
                <w:bCs/>
                <w:i/>
                <w:iCs/>
                <w:caps w:val="0"/>
                <w:color w:val="0F1115"/>
                <w:spacing w:val="0"/>
                <w:kern w:val="2"/>
                <w:sz w:val="24"/>
                <w:szCs w:val="24"/>
                <w:u w:val="single"/>
                <w:vertAlign w:val="baseline"/>
                <w:lang w:val="en-US" w:eastAsia="zh-CN" w:bidi="ar-SA"/>
              </w:rPr>
              <w:t>元</w:t>
            </w:r>
            <w:r>
              <w:rPr>
                <w:rStyle w:val="11"/>
                <w:rFonts w:hint="eastAsia" w:ascii="Times New Roman Regular" w:hAnsi="Times New Roman Regular" w:eastAsia="宋体" w:cs="Times New Roman Regular"/>
                <w:b w:val="0"/>
                <w:bCs/>
                <w:i w:val="0"/>
                <w:iCs w:val="0"/>
                <w:caps w:val="0"/>
                <w:color w:val="0F1115"/>
                <w:spacing w:val="0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  <w:t>；大写：</w:t>
            </w:r>
            <w:r>
              <w:rPr>
                <w:rStyle w:val="11"/>
                <w:rFonts w:hint="default" w:ascii="Times New Roman Italic" w:hAnsi="Times New Roman Italic" w:eastAsia="宋体" w:cs="Times New Roman Italic"/>
                <w:b w:val="0"/>
                <w:bCs/>
                <w:i/>
                <w:iCs/>
                <w:caps w:val="0"/>
                <w:color w:val="0F1115"/>
                <w:spacing w:val="0"/>
                <w:kern w:val="2"/>
                <w:sz w:val="24"/>
                <w:szCs w:val="24"/>
                <w:u w:val="single"/>
                <w:vertAlign w:val="baseline"/>
                <w:lang w:val="en-US" w:eastAsia="zh-CN" w:bidi="ar-SA"/>
              </w:rPr>
              <w:t>XXX</w:t>
            </w:r>
            <w:r>
              <w:rPr>
                <w:rStyle w:val="11"/>
                <w:rFonts w:hint="eastAsia" w:ascii="Times New Roman Italic" w:hAnsi="Times New Roman Italic" w:eastAsia="宋体" w:cs="Times New Roman Italic"/>
                <w:b w:val="0"/>
                <w:bCs/>
                <w:i/>
                <w:iCs/>
                <w:caps w:val="0"/>
                <w:color w:val="0F1115"/>
                <w:spacing w:val="0"/>
                <w:kern w:val="2"/>
                <w:sz w:val="24"/>
                <w:szCs w:val="24"/>
                <w:u w:val="single"/>
                <w:vertAlign w:val="baseline"/>
                <w:lang w:val="en-US" w:eastAsia="zh-CN" w:bidi="ar-SA"/>
              </w:rPr>
              <w:t>元整</w:t>
            </w:r>
          </w:p>
          <w:p w14:paraId="1587E9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Style w:val="11"/>
                <w:rFonts w:hint="eastAsia" w:ascii="Times New Roman Italic" w:hAnsi="Times New Roman Italic" w:eastAsia="宋体" w:cs="Times New Roman Italic"/>
                <w:b/>
                <w:bCs w:val="0"/>
                <w:i w:val="0"/>
                <w:iCs w:val="0"/>
                <w:caps w:val="0"/>
                <w:color w:val="0F1115"/>
                <w:spacing w:val="0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</w:pPr>
            <w:r>
              <w:rPr>
                <w:rStyle w:val="11"/>
                <w:rFonts w:hint="eastAsia" w:ascii="Times New Roman Italic" w:hAnsi="Times New Roman Italic" w:eastAsia="宋体" w:cs="Times New Roman Italic"/>
                <w:b/>
                <w:bCs w:val="0"/>
                <w:i w:val="0"/>
                <w:iCs w:val="0"/>
                <w:caps w:val="0"/>
                <w:color w:val="0F1115"/>
                <w:spacing w:val="0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  <w:t>注：本报价为含税包干价，包含但不限于人员劳动力成本、货物制造、运输、保险、包装、关税等为高质量完成本项目所需投入的一切费用，采购人不再另行支付其他费用。</w:t>
            </w:r>
          </w:p>
          <w:p w14:paraId="71E00A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Style w:val="11"/>
                <w:rFonts w:hint="default" w:ascii="Times New Roman Italic" w:hAnsi="Times New Roman Italic" w:eastAsia="宋体" w:cs="Times New Roman Italic"/>
                <w:b/>
                <w:bCs w:val="0"/>
                <w:i w:val="0"/>
                <w:iCs w:val="0"/>
                <w:caps w:val="0"/>
                <w:color w:val="0F1115"/>
                <w:spacing w:val="0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  <w:t>付款方式为：货到验收合格</w:t>
            </w:r>
            <w:r>
              <w:rPr>
                <w:rStyle w:val="11"/>
                <w:rFonts w:hint="eastAsia" w:ascii="Times New Roman Italic" w:hAnsi="Times New Roman Italic" w:eastAsia="宋体" w:cs="Times New Roman Italic"/>
                <w:b/>
                <w:bCs w:val="0"/>
                <w:i w:val="0"/>
                <w:iCs w:val="0"/>
                <w:caps w:val="0"/>
                <w:color w:val="0F1115"/>
                <w:spacing w:val="0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  <w:t>提供完整资料（发票、送货单、报价单）并完成入库，按照医院内控制度，60天内支付全款，贵司可提</w:t>
            </w:r>
            <w:r>
              <w:rPr>
                <w:rStyle w:val="11"/>
                <w:rFonts w:hint="default" w:ascii="Times New Roman Italic" w:hAnsi="Times New Roman Italic" w:eastAsia="宋体" w:cs="Times New Roman Italic"/>
                <w:b/>
                <w:bCs w:val="0"/>
                <w:i w:val="0"/>
                <w:iCs w:val="0"/>
                <w:caps w:val="0"/>
                <w:color w:val="0F1115"/>
                <w:spacing w:val="0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  <w:t>出建议。</w:t>
            </w:r>
          </w:p>
        </w:tc>
      </w:tr>
    </w:tbl>
    <w:p w14:paraId="483A540B">
      <w:pPr>
        <w:pStyle w:val="4"/>
        <w:widowControl/>
        <w:spacing w:before="15" w:line="310" w:lineRule="auto"/>
        <w:ind w:left="16" w:right="76" w:firstLine="574"/>
        <w:rPr>
          <w:rFonts w:hint="eastAsia" w:ascii="仿宋_GB2312" w:hAnsi="仿宋_GB2312" w:eastAsia="仿宋_GB2312" w:cs="仿宋_GB2312"/>
          <w:spacing w:val="4"/>
          <w:highlight w:val="none"/>
        </w:rPr>
      </w:pPr>
    </w:p>
    <w:p w14:paraId="7AF1B2A1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13" w:lineRule="auto"/>
        <w:ind w:left="0"/>
        <w:textAlignment w:val="baseline"/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spacing w:val="-6"/>
          <w:highlight w:val="none"/>
        </w:rPr>
        <w:t>法定代表人或授权代表</w:t>
      </w:r>
      <w:r>
        <w:rPr>
          <w:rFonts w:hint="eastAsia" w:ascii="仿宋_GB2312" w:hAnsi="仿宋_GB2312" w:eastAsia="仿宋_GB2312" w:cs="仿宋_GB2312"/>
          <w:spacing w:val="-46"/>
          <w:highlight w:val="none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highlight w:val="none"/>
        </w:rPr>
        <w:t>(签字)：</w:t>
      </w:r>
      <w:r>
        <w:rPr>
          <w:rFonts w:hint="eastAsia" w:ascii="仿宋_GB2312" w:hAnsi="仿宋_GB2312" w:eastAsia="仿宋_GB2312" w:cs="仿宋_GB2312"/>
          <w:highlight w:val="none"/>
          <w:u w:val="single" w:color="auto"/>
        </w:rPr>
        <w:t xml:space="preserve">                </w:t>
      </w:r>
    </w:p>
    <w:p w14:paraId="1592ED2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0"/>
          <w:sz w:val="21"/>
          <w:szCs w:val="21"/>
          <w:highlight w:val="none"/>
          <w:lang w:eastAsia="en-US"/>
        </w:rPr>
      </w:pPr>
    </w:p>
    <w:p w14:paraId="26B62E57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12" w:lineRule="auto"/>
        <w:ind w:left="0"/>
        <w:textAlignment w:val="baseline"/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spacing w:val="-35"/>
          <w:highlight w:val="none"/>
        </w:rPr>
        <w:t>日期：</w:t>
      </w:r>
      <w:r>
        <w:rPr>
          <w:rFonts w:hint="eastAsia" w:ascii="仿宋_GB2312" w:hAnsi="仿宋_GB2312" w:eastAsia="仿宋_GB2312" w:cs="仿宋_GB2312"/>
          <w:spacing w:val="3"/>
          <w:highlight w:val="none"/>
          <w:u w:val="single" w:color="auto"/>
        </w:rPr>
        <w:t xml:space="preserve">        </w:t>
      </w:r>
      <w:r>
        <w:rPr>
          <w:rFonts w:hint="eastAsia" w:ascii="仿宋_GB2312" w:hAnsi="仿宋_GB2312" w:eastAsia="仿宋_GB2312" w:cs="仿宋_GB2312"/>
          <w:spacing w:val="-129"/>
          <w:highlight w:val="none"/>
        </w:rPr>
        <w:t xml:space="preserve"> </w:t>
      </w:r>
      <w:r>
        <w:rPr>
          <w:rFonts w:hint="eastAsia" w:ascii="仿宋_GB2312" w:hAnsi="仿宋_GB2312" w:eastAsia="仿宋_GB2312" w:cs="仿宋_GB2312"/>
          <w:spacing w:val="-35"/>
          <w:highlight w:val="none"/>
        </w:rPr>
        <w:t>年</w:t>
      </w:r>
      <w:r>
        <w:rPr>
          <w:rFonts w:hint="eastAsia" w:ascii="仿宋_GB2312" w:hAnsi="仿宋_GB2312" w:eastAsia="仿宋_GB2312" w:cs="仿宋_GB2312"/>
          <w:spacing w:val="3"/>
          <w:highlight w:val="none"/>
          <w:u w:val="single" w:color="auto"/>
        </w:rPr>
        <w:t xml:space="preserve">    </w:t>
      </w:r>
      <w:r>
        <w:rPr>
          <w:rFonts w:hint="eastAsia" w:ascii="仿宋_GB2312" w:hAnsi="仿宋_GB2312" w:eastAsia="仿宋_GB2312" w:cs="仿宋_GB2312"/>
          <w:spacing w:val="-127"/>
          <w:highlight w:val="none"/>
        </w:rPr>
        <w:t xml:space="preserve"> </w:t>
      </w:r>
      <w:r>
        <w:rPr>
          <w:rFonts w:hint="eastAsia" w:ascii="仿宋_GB2312" w:hAnsi="仿宋_GB2312" w:eastAsia="仿宋_GB2312" w:cs="仿宋_GB2312"/>
          <w:spacing w:val="-35"/>
          <w:highlight w:val="none"/>
        </w:rPr>
        <w:t>月</w:t>
      </w:r>
      <w:r>
        <w:rPr>
          <w:rFonts w:hint="eastAsia" w:ascii="仿宋_GB2312" w:hAnsi="仿宋_GB2312" w:eastAsia="仿宋_GB2312" w:cs="仿宋_GB2312"/>
          <w:spacing w:val="3"/>
          <w:highlight w:val="none"/>
          <w:u w:val="single" w:color="auto"/>
        </w:rPr>
        <w:t xml:space="preserve">    </w:t>
      </w:r>
      <w:r>
        <w:rPr>
          <w:rFonts w:hint="eastAsia" w:ascii="仿宋_GB2312" w:hAnsi="仿宋_GB2312" w:eastAsia="仿宋_GB2312" w:cs="仿宋_GB2312"/>
          <w:spacing w:val="-85"/>
          <w:highlight w:val="none"/>
        </w:rPr>
        <w:t xml:space="preserve"> </w:t>
      </w:r>
      <w:r>
        <w:rPr>
          <w:rFonts w:hint="eastAsia" w:ascii="仿宋_GB2312" w:hAnsi="仿宋_GB2312" w:eastAsia="仿宋_GB2312" w:cs="仿宋_GB2312"/>
          <w:spacing w:val="-35"/>
          <w:highlight w:val="none"/>
        </w:rPr>
        <w:t>日</w:t>
      </w:r>
    </w:p>
    <w:p w14:paraId="63C56076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11" w:lineRule="auto"/>
        <w:ind w:left="0"/>
        <w:textAlignment w:val="baseline"/>
        <w:rPr>
          <w:rFonts w:hint="eastAsia" w:ascii="仿宋_GB2312" w:hAnsi="仿宋_GB2312" w:eastAsia="仿宋_GB2312" w:cs="仿宋_GB2312"/>
          <w:spacing w:val="4"/>
          <w:highlight w:val="none"/>
        </w:rPr>
      </w:pPr>
    </w:p>
    <w:p w14:paraId="325007B4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11" w:lineRule="auto"/>
        <w:ind w:left="0"/>
        <w:textAlignment w:val="baseline"/>
        <w:rPr>
          <w:rFonts w:hint="eastAsia" w:eastAsia="仿宋_GB2312"/>
          <w:highlight w:val="none"/>
          <w:lang w:eastAsia="zh-CN"/>
        </w:rPr>
        <w:sectPr>
          <w:footerReference r:id="rId3" w:type="default"/>
          <w:pgSz w:w="12240" w:h="15840"/>
          <w:pgMar w:top="1346" w:right="1836" w:bottom="1008" w:left="1454" w:header="0" w:footer="743" w:gutter="0"/>
          <w:cols w:space="720" w:num="1"/>
        </w:sectPr>
      </w:pPr>
      <w:r>
        <w:rPr>
          <w:rFonts w:hint="eastAsia" w:ascii="仿宋_GB2312" w:hAnsi="仿宋_GB2312" w:eastAsia="仿宋_GB2312" w:cs="仿宋_GB2312"/>
          <w:spacing w:val="4"/>
          <w:highlight w:val="none"/>
        </w:rPr>
        <w:t>备注：报价大写与小写如不一致，均以大写为准</w:t>
      </w:r>
      <w:r>
        <w:rPr>
          <w:rFonts w:hint="eastAsia" w:ascii="仿宋_GB2312" w:hAnsi="仿宋_GB2312" w:eastAsia="仿宋_GB2312" w:cs="仿宋_GB2312"/>
          <w:spacing w:val="4"/>
          <w:highlight w:val="none"/>
          <w:lang w:eastAsia="zh-CN"/>
        </w:rPr>
        <w:t>。</w:t>
      </w:r>
    </w:p>
    <w:p w14:paraId="713C6294">
      <w:pPr>
        <w:bidi w:val="0"/>
        <w:jc w:val="left"/>
        <w:rPr>
          <w:rFonts w:hint="default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Times New Roman Italic">
    <w:panose1 w:val="02020503050405090304"/>
    <w:charset w:val="00"/>
    <w:family w:val="auto"/>
    <w:pitch w:val="default"/>
    <w:sig w:usb0="00000000" w:usb1="00000000" w:usb2="00000001" w:usb3="00000000" w:csb0="400001BF" w:csb1="DF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34630">
    <w:pPr>
      <w:widowControl/>
      <w:tabs>
        <w:tab w:val="left" w:pos="4922"/>
      </w:tabs>
      <w:kinsoku w:val="0"/>
      <w:autoSpaceDE w:val="0"/>
      <w:autoSpaceDN w:val="0"/>
      <w:adjustRightInd w:val="0"/>
      <w:snapToGrid w:val="0"/>
      <w:spacing w:line="231" w:lineRule="auto"/>
      <w:ind w:left="4563"/>
      <w:jc w:val="left"/>
      <w:textAlignment w:val="baseline"/>
      <w:rPr>
        <w:rFonts w:hint="eastAsia" w:ascii="Times New Roman" w:hAnsi="Times New Roman" w:eastAsia="宋体" w:cs="Times New Roman"/>
        <w:snapToGrid w:val="0"/>
        <w:color w:val="000000"/>
        <w:kern w:val="0"/>
        <w:sz w:val="23"/>
        <w:szCs w:val="23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503462">
    <w:pPr>
      <w:widowControl/>
      <w:kinsoku w:val="0"/>
      <w:autoSpaceDE w:val="0"/>
      <w:autoSpaceDN w:val="0"/>
      <w:adjustRightInd w:val="0"/>
      <w:snapToGrid w:val="0"/>
      <w:spacing w:line="233" w:lineRule="auto"/>
      <w:ind w:left="4552"/>
      <w:jc w:val="left"/>
      <w:textAlignment w:val="baseline"/>
      <w:rPr>
        <w:rFonts w:ascii="Times New Roman" w:hAnsi="Times New Roman" w:eastAsia="Times New Roman" w:cs="Times New Roman"/>
        <w:snapToGrid w:val="0"/>
        <w:color w:val="000000"/>
        <w:kern w:val="0"/>
        <w:sz w:val="23"/>
        <w:szCs w:val="23"/>
        <w:lang w:eastAsia="en-US"/>
      </w:rPr>
    </w:pPr>
    <w:r>
      <w:rPr>
        <w:rFonts w:ascii="Times New Roman" w:hAnsi="Times New Roman" w:eastAsia="Times New Roman" w:cs="Times New Roman"/>
        <w:snapToGrid w:val="0"/>
        <w:color w:val="000000"/>
        <w:spacing w:val="-5"/>
        <w:kern w:val="0"/>
        <w:sz w:val="23"/>
        <w:szCs w:val="23"/>
        <w:lang w:eastAsia="en-US"/>
      </w:rPr>
      <w:t>14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C208EA"/>
    <w:multiLevelType w:val="singleLevel"/>
    <w:tmpl w:val="D8C208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95F0F06"/>
    <w:multiLevelType w:val="singleLevel"/>
    <w:tmpl w:val="F95F0F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0493AA8"/>
    <w:multiLevelType w:val="singleLevel"/>
    <w:tmpl w:val="70493AA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53A89"/>
    <w:rsid w:val="09A65E4C"/>
    <w:rsid w:val="09F37E15"/>
    <w:rsid w:val="0BCA33E7"/>
    <w:rsid w:val="10113C1E"/>
    <w:rsid w:val="1DE35954"/>
    <w:rsid w:val="2DD36690"/>
    <w:rsid w:val="4B9F7EDB"/>
    <w:rsid w:val="53D71C20"/>
    <w:rsid w:val="5433414A"/>
    <w:rsid w:val="563673F2"/>
    <w:rsid w:val="566D2594"/>
    <w:rsid w:val="5A4619C2"/>
    <w:rsid w:val="5B537862"/>
    <w:rsid w:val="64401836"/>
    <w:rsid w:val="66901948"/>
    <w:rsid w:val="6B7152A1"/>
    <w:rsid w:val="70EF502E"/>
    <w:rsid w:val="758D5DE2"/>
    <w:rsid w:val="76CA4E14"/>
    <w:rsid w:val="7B076AE4"/>
    <w:rsid w:val="9AFBCEB4"/>
    <w:rsid w:val="BD8B65AE"/>
    <w:rsid w:val="D7FB0D89"/>
    <w:rsid w:val="F86BE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qFormat/>
    <w:uiPriority w:val="0"/>
    <w:pPr>
      <w:keepNext/>
      <w:keepLines/>
      <w:widowControl w:val="0"/>
      <w:spacing w:before="340" w:beforeLines="0" w:beforeAutospacing="0" w:after="330" w:afterLines="0" w:afterAutospacing="0" w:line="576" w:lineRule="auto"/>
      <w:jc w:val="both"/>
      <w:outlineLvl w:val="0"/>
    </w:pPr>
    <w:rPr>
      <w:rFonts w:ascii="Calibri" w:hAnsi="Calibri" w:eastAsia="宋体" w:cs="Times New Roman"/>
      <w:b/>
      <w:kern w:val="44"/>
      <w:sz w:val="44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figures"/>
    <w:next w:val="1"/>
    <w:qFormat/>
    <w:uiPriority w:val="0"/>
    <w:pPr>
      <w:widowControl w:val="0"/>
      <w:ind w:left="200" w:leftChars="200" w:hanging="200" w:hangingChars="200"/>
      <w:jc w:val="both"/>
    </w:pPr>
    <w:rPr>
      <w:rFonts w:cs="黑体" w:asciiTheme="minorHAnsi" w:hAnsiTheme="minorHAnsi" w:eastAsiaTheme="minorEastAsia"/>
      <w:kern w:val="2"/>
      <w:sz w:val="21"/>
      <w:szCs w:val="24"/>
      <w:lang w:val="en-US" w:eastAsia="zh-CN" w:bidi="ar-SA"/>
    </w:rPr>
  </w:style>
  <w:style w:type="paragraph" w:styleId="4">
    <w:name w:val="Body Text"/>
    <w:basedOn w:val="1"/>
    <w:next w:val="1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宋体" w:hAnsi="宋体" w:eastAsia="宋体" w:cs="宋体"/>
      <w:snapToGrid w:val="0"/>
      <w:color w:val="000000"/>
      <w:kern w:val="0"/>
      <w:sz w:val="28"/>
      <w:szCs w:val="28"/>
      <w:lang w:val="en-US" w:eastAsia="en-US" w:bidi="ar-SA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Subtitle"/>
    <w:next w:val="1"/>
    <w:qFormat/>
    <w:uiPriority w:val="99"/>
    <w:pPr>
      <w:widowControl w:val="0"/>
      <w:spacing w:before="240" w:after="60" w:line="312" w:lineRule="auto"/>
      <w:jc w:val="center"/>
      <w:outlineLvl w:val="1"/>
    </w:pPr>
    <w:rPr>
      <w:rFonts w:ascii="Cambria" w:hAnsi="Cambria" w:eastAsia="宋体" w:cs="Cambria"/>
      <w:b/>
      <w:bCs/>
      <w:kern w:val="28"/>
      <w:sz w:val="32"/>
      <w:szCs w:val="32"/>
      <w:lang w:val="en-US" w:eastAsia="zh-CN" w:bidi="ar-SA"/>
    </w:rPr>
  </w:style>
  <w:style w:type="paragraph" w:styleId="7">
    <w:name w:val="Normal (Web)"/>
    <w:basedOn w:val="1"/>
    <w:qFormat/>
    <w:uiPriority w:val="0"/>
    <w:pPr>
      <w:widowControl/>
      <w:spacing w:beforeAutospacing="1" w:afterAutospacing="1"/>
      <w:jc w:val="left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table" w:customStyle="1" w:styleId="12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MSG_EN_FONT_STYLE_NAME_TEMPLATE_ROLE_LEVEL MSG_EN_FONT_STYLE_NAME_BY_ROLE_HEADING 1|1_"/>
    <w:basedOn w:val="10"/>
    <w:link w:val="14"/>
    <w:qFormat/>
    <w:uiPriority w:val="0"/>
    <w:rPr>
      <w:rFonts w:ascii="黑体" w:hAnsi="黑体" w:eastAsia="黑体" w:cs="黑体"/>
      <w:sz w:val="40"/>
      <w:szCs w:val="40"/>
      <w:lang w:val="zh-CN" w:eastAsia="zh-CN" w:bidi="zh-CN"/>
    </w:rPr>
  </w:style>
  <w:style w:type="paragraph" w:customStyle="1" w:styleId="14">
    <w:name w:val="MSG_EN_FONT_STYLE_NAME_TEMPLATE_ROLE_LEVEL MSG_EN_FONT_STYLE_NAME_BY_ROLE_HEADING 1|1"/>
    <w:basedOn w:val="1"/>
    <w:link w:val="13"/>
    <w:qFormat/>
    <w:uiPriority w:val="0"/>
    <w:pPr>
      <w:spacing w:after="820"/>
      <w:jc w:val="center"/>
      <w:outlineLvl w:val="0"/>
    </w:pPr>
    <w:rPr>
      <w:rFonts w:ascii="黑体" w:hAnsi="黑体" w:eastAsia="黑体" w:cs="黑体"/>
      <w:sz w:val="40"/>
      <w:szCs w:val="40"/>
      <w:lang w:val="zh-CN" w:eastAsia="zh-CN" w:bidi="zh-CN"/>
    </w:rPr>
  </w:style>
  <w:style w:type="character" w:customStyle="1" w:styleId="15">
    <w:name w:val="font11"/>
    <w:basedOn w:val="10"/>
    <w:qFormat/>
    <w:uiPriority w:val="0"/>
    <w:rPr>
      <w:rFonts w:hint="default" w:ascii="仿宋" w:hAnsi="仿宋" w:eastAsia="仿宋" w:cs="仿宋"/>
      <w:color w:val="000000"/>
      <w:sz w:val="24"/>
      <w:szCs w:val="24"/>
      <w:u w:val="none"/>
    </w:rPr>
  </w:style>
  <w:style w:type="character" w:customStyle="1" w:styleId="16">
    <w:name w:val="font21"/>
    <w:basedOn w:val="10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616</Words>
  <Characters>651</Characters>
  <Lines>0</Lines>
  <Paragraphs>0</Paragraphs>
  <TotalTime>5</TotalTime>
  <ScaleCrop>false</ScaleCrop>
  <LinksUpToDate>false</LinksUpToDate>
  <CharactersWithSpaces>728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2025-11-25T09:14:00Z</dcterms:created>
  <dc:creator>Administrator</dc:creator>
  <cp:lastModifiedBy>邓新宇</cp:lastModifiedBy>
  <dcterms:modified xsi:type="dcterms:W3CDTF">2026-01-30T09:04:36Z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eyJoZGlkIjoiMmM5ZTFhODUxOWVjYTA2YTEyYmI5ZjJiODM5Y2MzZDEiLCJ1c2VySWQiOiIzNjU3ODExNjQifQ==</vt:lpwstr>
  </property>
  <property fmtid="{D5CDD505-2E9C-101B-9397-08002B2CF9AE}" pid="4" name="ICV">
    <vt:lpwstr>D8141314B2B14CBEA40D725604425C36_13</vt:lpwstr>
  </property>
</Properties>
</file>