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49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Times New Roman" w:eastAsia="微软雅黑" w:cs="Times New Roman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处方流转平台及配套服务：该平台可实现与医院HIS系统、药品数据系统、区域慢病管理平台的互联互通，既能支撑院内及大安区基层医疗机构的处方流转服务，推动区域药品目录统一，又能满足患者“线上流转、线下配药”的多元化需求，对提升区域医药资源配置效率。</w:t>
      </w:r>
    </w:p>
    <w:p w14:paraId="4E7B3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A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2026-01-21T03:41:45Z</dcterms:created>
  <dc:creator>HP</dc:creator>
  <cp:lastModifiedBy>李心月</cp:lastModifiedBy>
  <dcterms:modified xsi:type="dcterms:W3CDTF">2026-01-21T03:42:28Z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eyJoZGlkIjoiOTZjNDljMjU1NGFiZTA5YTZhYmExYTJkNjdkNmJjZDgiLCJ1c2VySWQiOiIyNzkxNjA4MTIifQ==</vt:lpwstr>
  </property>
  <property fmtid="{D5CDD505-2E9C-101B-9397-08002B2CF9AE}" pid="4" name="ICV">
    <vt:lpwstr>4D8C07CAA6B14D78990CD33F37C3C7ED_12</vt:lpwstr>
  </property>
</Properties>
</file>