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8439"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t>心电工作站</w:t>
            </w:r>
          </w:p>
        </w:tc>
        <w:tc>
          <w:tcPr>
            <w:tcW w:w="8439" w:type="dxa"/>
          </w:tcPr>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（一）系统平台要求</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1、系统采用纯BS架构，免客户端安装。（须提供产品宣传彩页或产品说明书或软件功能截图或产品图册或国家认可的第三方检测机构出具的检测报告）。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2、系统支持：公有云，私有云，等多种性质的服务器环境。</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3、系统支持个性化UI风格、字体大小、主题颜色等自定义配置。</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系统软件支持的最大用户并发数大于80；满足全域覆盖使用；系统支持三级或以上组织结构设置。（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5、系统对数据采集、数据追溯、问题定位等应用提供技术支撑，支持心电数据的采集、传输、诊断和数据归档的全流程跟踪管理。</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6、能够与医院现有的信息系统（如HIS、PACS、EMR、体检、CA、集成平台等）进行对接和数据交互，支持≥7种对接方式，至少但不限于包括：视图、表、存储过程、Webservice、API、DICOM、HL7等。</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支持灵活的第三方数据对接方式，可以快速实现同常见医疗卫生信息系统软件进行数据交换和信息共享,能够与现有HIS、LIS、EMR等主要系统实现无缝连接，支持第三方设备开放的HL7、DICOM等标准心电格式数据的信息接入。</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系统提供多样化的消息提醒，包括弹窗、语音提醒等，并支持历史消息查看、查询，便于信息追溯（须提供产品宣传彩页或产品说明书或软件功能截图或产品图册或国家认可的第三方检测机构出具的检测报告）；为满足医院业务扩展系统需能同时支持静息心电、动态心电和动态血压业务数据存储、分析、诊断和管理；（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9、为避免因检查端与诊断端时间不一致，系统应具备时间同步管理机制，支持一体化设备、客户端与服务器自动保持时间同步。</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提供常用功能接口控制开关，如智能诊断、第三方接口调用、确费接口等，可自由控制相关功能使用。（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具备完善的日志管理，实时记录用户登陆、操作日志；平台本身集成系统运行的实时服务监控功能。（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为保障数据安全不丢失，在利用的磁盘容量达到最大容量时，数据不会丢失；部署的服务器断电，重新开启服务器后，数据不会丢失（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13、用户登录界面支持用户名+密码登录，支持CA登录、扫码登录等多种身份认证机制，确保身份的唯一性和安全性。</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PC诊断端集成DeepSeek，支持及时调用及信息查询;为保障医生日常诊断沟通需求，平台集成专网及时通讯工具，支持文本、图片等通讯方式（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系统具备完善的安全管理策略，权限管理功能包含重要操作权限配置，角色定义，权限范围管理（须提供产品宣传彩页或产品说明书或软件功能截图或产品图册或国家认可的第三方检测机构出具的检测报告）。</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16、满足信息安全等级保护三级标准进行建设要求，具有信息安全三级等保证书。</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（二）数字式多道心电图机</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1、基本要求</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显示屏≥9.</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英寸，屏幕亮度可调，支持背景网格显示，支持全屏触控操作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具有一体化标准物理全键盘设计，支持拼音、五笔等输入法。</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auto"/>
                <w:sz w:val="24"/>
                <w:szCs w:val="24"/>
              </w:rPr>
              <w:t>患者信息录入：系统提供标准化界面供人工采集患者信息，具备数据校验与存储能力，满足基础场景信息录入需求。</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1.3.内置热敏点阵打印机，并支持通过有线/无线方式外接激光打印机打印A4报告，具备在无网格纸上打印网格功能；</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sz w:val="24"/>
                <w:szCs w:val="24"/>
              </w:rPr>
              <w:t>支持通过有线、无线、移动网络的方式进行联网，内置WIFI 模块，可支持2.4GHz/5GHz双频带传输</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支持心电数据传输，可实现将采集的心电数据</w:t>
            </w:r>
            <w:bookmarkStart w:id="2" w:name="_Hlk35006025"/>
            <w:r>
              <w:rPr>
                <w:rFonts w:hint="eastAsia" w:ascii="宋体" w:hAnsi="宋体" w:eastAsia="宋体" w:cs="宋体"/>
                <w:color w:val="000000" w:themeColor="text1"/>
                <w:sz w:val="24"/>
                <w:szCs w:val="24"/>
                <w:lang w:val="en-US" w:eastAsia="zh-CN"/>
                <w14:textFill>
                  <w14:solidFill>
                    <w14:schemeClr w14:val="tx1"/>
                  </w14:solidFill>
                </w14:textFill>
              </w:rPr>
              <w:t>与</w:t>
            </w:r>
            <w:r>
              <w:rPr>
                <w:rFonts w:hint="eastAsia" w:ascii="宋体" w:hAnsi="宋体" w:eastAsia="宋体" w:cs="宋体"/>
                <w:color w:val="000000" w:themeColor="text1"/>
                <w:sz w:val="24"/>
                <w:szCs w:val="24"/>
                <w14:textFill>
                  <w14:solidFill>
                    <w14:schemeClr w14:val="tx1"/>
                  </w14:solidFill>
                </w14:textFill>
              </w:rPr>
              <w:t>心电网络平台</w:t>
            </w:r>
            <w:bookmarkEnd w:id="2"/>
            <w:r>
              <w:rPr>
                <w:rFonts w:hint="eastAsia" w:ascii="宋体" w:hAnsi="宋体" w:eastAsia="宋体" w:cs="宋体"/>
                <w:color w:val="000000" w:themeColor="text1"/>
                <w:sz w:val="24"/>
                <w:szCs w:val="24"/>
                <w:lang w:val="en-US" w:eastAsia="zh-CN"/>
                <w14:textFill>
                  <w14:solidFill>
                    <w14:schemeClr w14:val="tx1"/>
                  </w14:solidFill>
                </w14:textFill>
              </w:rPr>
              <w:t>的双向传输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支持PDF、PNG、HL7、XML、DICOM</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数据格式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支持FTP、HTTP、SAMBA</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传输协议。</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2、性能要求</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★2.1.A/D转换：24bit</w:t>
            </w:r>
            <w:bookmarkStart w:id="3" w:name="_Hlk35006296"/>
            <w:r>
              <w:rPr>
                <w:rFonts w:hint="eastAsia" w:ascii="宋体" w:hAnsi="宋体" w:eastAsia="宋体" w:cs="宋体"/>
                <w:sz w:val="24"/>
                <w:szCs w:val="24"/>
                <w:lang w:val="en-US" w:eastAsia="zh-CN"/>
              </w:rPr>
              <w:t>，输入阻抗：≥100MΩ</w:t>
            </w:r>
            <w:bookmarkEnd w:id="3"/>
            <w:r>
              <w:rPr>
                <w:rFonts w:hint="eastAsia" w:ascii="宋体" w:hAnsi="宋体" w:eastAsia="宋体" w:cs="宋体"/>
                <w:sz w:val="24"/>
                <w:szCs w:val="24"/>
                <w:lang w:val="en-US" w:eastAsia="zh-CN"/>
              </w:rPr>
              <w:t>，采样率：≥60000Hz，内部噪声：≤12.5µVp-p。</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★2.2.频率响应：0.01Hz ~ 535Hz， 时间常数≥8s。</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★2.3.耐极化电压：≥±1000mV。</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2.4.抗干扰滤波：具有交流、肌电、漂移和低通滤波器，具备自适应工频滤波</w:t>
            </w:r>
            <w:r>
              <w:rPr>
                <w:rFonts w:hint="eastAsia" w:ascii="宋体" w:hAnsi="宋体" w:eastAsia="宋体" w:cs="宋体"/>
                <w:color w:val="000000" w:themeColor="text1"/>
                <w:sz w:val="24"/>
                <w:szCs w:val="24"/>
                <w:lang w:val="en-US" w:eastAsia="zh-CN"/>
                <w14:textFill>
                  <w14:solidFill>
                    <w14:schemeClr w14:val="tx1"/>
                  </w14:solidFill>
                </w14:textFill>
              </w:rPr>
              <w:t>技术，有效去除干扰，改善心电信号质量，除颤保护：机器和导联线具有抗除颤电击保护功能。</w:t>
            </w:r>
          </w:p>
          <w:p>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3、功能要求</w:t>
            </w:r>
          </w:p>
          <w:p>
            <w:pPr>
              <w:spacing w:line="360" w:lineRule="auto"/>
              <w:jc w:val="both"/>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auto"/>
                <w:sz w:val="24"/>
                <w:szCs w:val="24"/>
              </w:rPr>
              <w:t>ECG输入通道：支持标准多导联心电信号同步采集，导联可选手动 / 自动模式，可兼容导联体系，可自定义导联标识。</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采集时间设置：波形实时采集</w:t>
            </w: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s，便于医生精确选择和记录特定时间</w:t>
            </w:r>
            <w:r>
              <w:rPr>
                <w:rFonts w:hint="eastAsia" w:ascii="宋体" w:hAnsi="宋体" w:eastAsia="宋体" w:cs="宋体"/>
                <w:color w:val="000000" w:themeColor="text1"/>
                <w:sz w:val="24"/>
                <w:szCs w:val="24"/>
                <w14:textFill>
                  <w14:solidFill>
                    <w14:schemeClr w14:val="tx1"/>
                  </w14:solidFill>
                </w14:textFill>
              </w:rPr>
              <w:t>段的心电波形。</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支持实时采样、预采样、触发采样模式，支持节律分析。</w:t>
            </w:r>
          </w:p>
          <w:p>
            <w:p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可同屏显示12导同步心电波形</w:t>
            </w:r>
            <w:r>
              <w:rPr>
                <w:rFonts w:hint="eastAsia" w:ascii="宋体" w:hAnsi="宋体" w:eastAsia="宋体" w:cs="宋体"/>
                <w:color w:val="auto"/>
                <w:sz w:val="24"/>
                <w:szCs w:val="24"/>
                <w:lang w:eastAsia="zh-CN"/>
              </w:rPr>
              <w:t>、热敏打印，</w:t>
            </w:r>
            <w:r>
              <w:rPr>
                <w:rFonts w:hint="eastAsia" w:ascii="宋体" w:hAnsi="宋体" w:eastAsia="宋体" w:cs="宋体"/>
                <w:color w:val="auto"/>
                <w:sz w:val="24"/>
                <w:szCs w:val="24"/>
              </w:rPr>
              <w:t>支持3*4、3*4+1R、3*4+3R、6*2、6*2+1R、6*2+3R、12*1等多种显示布局</w:t>
            </w:r>
            <w:r>
              <w:rPr>
                <w:rFonts w:hint="eastAsia" w:ascii="宋体" w:hAnsi="宋体" w:eastAsia="宋体" w:cs="宋体"/>
                <w:color w:val="auto"/>
                <w:sz w:val="24"/>
                <w:szCs w:val="24"/>
                <w:lang w:val="en-US" w:eastAsia="zh-CN"/>
              </w:rPr>
              <w:t>。</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屏幕显示信息：心电波形、时间、心率、ID、工作状态、导联脱落信息、联网状态信息、外接设备状态信息等。</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自动异常报警功能：可自动对异常心率、导联脱落、外设连接、高频信号干扰情况进行实时监测报警。</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7.灵敏度：2.5mm/mv,5mm/mv,10mm/mv,20mm/mv,40mm/mv,自动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3%，走纸速度：5，6.25，10，12.5，25，50mm/s,误差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 xml:space="preserve"> 设备内置存储器，可存储病历≥</w:t>
            </w:r>
            <w:r>
              <w:rPr>
                <w:rFonts w:hint="eastAsia" w:ascii="宋体" w:hAnsi="宋体" w:eastAsia="宋体" w:cs="宋体"/>
                <w:color w:val="000000" w:themeColor="text1"/>
                <w:sz w:val="24"/>
                <w:szCs w:val="24"/>
                <w:lang w:val="en-US" w:eastAsia="zh-CN"/>
                <w14:textFill>
                  <w14:solidFill>
                    <w14:schemeClr w14:val="tx1"/>
                  </w14:solidFill>
                </w14:textFill>
              </w:rPr>
              <w:t>20000</w:t>
            </w:r>
            <w:r>
              <w:rPr>
                <w:rFonts w:hint="eastAsia" w:ascii="宋体" w:hAnsi="宋体" w:eastAsia="宋体" w:cs="宋体"/>
                <w:color w:val="000000" w:themeColor="text1"/>
                <w:sz w:val="24"/>
                <w:szCs w:val="24"/>
                <w14:textFill>
                  <w14:solidFill>
                    <w14:schemeClr w14:val="tx1"/>
                  </w14:solidFill>
                </w14:textFill>
              </w:rPr>
              <w:t>例，存储满后机器可循环存储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支持扩展存储及数据导出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支持U盘和SD卡直接导出</w:t>
            </w:r>
            <w:r>
              <w:rPr>
                <w:rFonts w:hint="eastAsia" w:ascii="宋体" w:hAnsi="宋体" w:eastAsia="宋体" w:cs="宋体"/>
                <w:color w:val="000000" w:themeColor="text1"/>
                <w:sz w:val="24"/>
                <w:szCs w:val="24"/>
                <w:lang w:val="en-US" w:eastAsia="zh-CN"/>
                <w14:textFill>
                  <w14:solidFill>
                    <w14:schemeClr w14:val="tx1"/>
                  </w14:solidFill>
                </w14:textFill>
              </w:rPr>
              <w:t>不同</w:t>
            </w:r>
            <w:r>
              <w:rPr>
                <w:rFonts w:hint="eastAsia" w:ascii="宋体" w:hAnsi="宋体" w:eastAsia="宋体" w:cs="宋体"/>
                <w:color w:val="000000" w:themeColor="text1"/>
                <w:sz w:val="24"/>
                <w:szCs w:val="24"/>
                <w14:textFill>
                  <w14:solidFill>
                    <w14:schemeClr w14:val="tx1"/>
                  </w14:solidFill>
                </w14:textFill>
              </w:rPr>
              <w:t>格式的报告。</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 xml:space="preserve">支持波形冻结与波形浏览功能。 </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 xml:space="preserve"> 具有病历管理功能，可对存储的病历进行查询、浏览、修改、导出、传输、打印，方便医生调阅病人信息，并且支持病例重新编辑，具备病例模板与自定义病例模板的添加功能，方便医生在屏诊断时快速输入诊断结论。</w:t>
            </w:r>
          </w:p>
          <w:p>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权限管理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可对设置权限进行密码管控，包含传输、纸速、增益、报告模板等设置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支持快速模式，采集与打印同步，减少等待采集时间，提高出报告效率，</w:t>
            </w:r>
            <w:r>
              <w:rPr>
                <w:rFonts w:hint="eastAsia" w:ascii="宋体" w:hAnsi="宋体" w:eastAsia="宋体" w:cs="宋体"/>
                <w:color w:val="000000" w:themeColor="text1"/>
                <w:sz w:val="24"/>
                <w:szCs w:val="24"/>
                <w14:textFill>
                  <w14:solidFill>
                    <w14:schemeClr w14:val="tx1"/>
                  </w14:solidFill>
                </w14:textFill>
              </w:rPr>
              <w:t>具有导联信号质量检测功能，以不同颜色标记信号质量，提醒医生对相应导联进行处理</w:t>
            </w:r>
            <w:r>
              <w:rPr>
                <w:rFonts w:hint="eastAsia" w:ascii="宋体" w:hAnsi="宋体" w:eastAsia="宋体" w:cs="宋体"/>
                <w:color w:val="000000" w:themeColor="text1"/>
                <w:sz w:val="24"/>
                <w:szCs w:val="24"/>
                <w:lang w:val="en-US" w:eastAsia="zh-CN"/>
                <w14:textFill>
                  <w14:solidFill>
                    <w14:schemeClr w14:val="tx1"/>
                  </w14:solidFill>
                </w14:textFill>
              </w:rPr>
              <w:t>，支持导联接反检测，如：左右手接反时，提示导联接反，方便及时纠正。</w:t>
            </w:r>
          </w:p>
          <w:p>
            <w:p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、电源</w:t>
            </w:r>
          </w:p>
          <w:p>
            <w:pPr>
              <w:spacing w:line="360" w:lineRule="auto"/>
              <w:jc w:val="both"/>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支持</w:t>
            </w:r>
            <w:r>
              <w:rPr>
                <w:rFonts w:hint="eastAsia" w:ascii="宋体" w:hAnsi="宋体" w:eastAsia="宋体" w:cs="宋体"/>
                <w:color w:val="000000" w:themeColor="text1"/>
                <w:sz w:val="24"/>
                <w:szCs w:val="24"/>
                <w14:textFill>
                  <w14:solidFill>
                    <w14:schemeClr w14:val="tx1"/>
                  </w14:solidFill>
                </w14:textFill>
              </w:rPr>
              <w:t>交直流两用且自动转换，电源适配范围为100-240V（50/60Hz），</w:t>
            </w:r>
            <w:r>
              <w:rPr>
                <w:rFonts w:hint="eastAsia" w:ascii="宋体" w:hAnsi="宋体" w:eastAsia="宋体" w:cs="宋体"/>
                <w:color w:val="000000" w:themeColor="text1"/>
                <w:sz w:val="24"/>
                <w:szCs w:val="24"/>
                <w:lang w:eastAsia="zh-CN"/>
                <w14:textFill>
                  <w14:solidFill>
                    <w14:schemeClr w14:val="tx1"/>
                  </w14:solidFill>
                </w14:textFill>
              </w:rPr>
              <w:t>若</w:t>
            </w:r>
            <w:r>
              <w:rPr>
                <w:rFonts w:hint="eastAsia" w:ascii="宋体" w:hAnsi="宋体" w:eastAsia="宋体" w:cs="宋体"/>
                <w:color w:val="000000" w:themeColor="text1"/>
                <w:sz w:val="24"/>
                <w:szCs w:val="24"/>
                <w14:textFill>
                  <w14:solidFill>
                    <w14:schemeClr w14:val="tx1"/>
                  </w14:solidFill>
                </w14:textFill>
              </w:rPr>
              <w:t>内置锂电池充满电后可连续工作</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817" w:type="dxa"/>
            <w:gridSpan w:val="2"/>
            <w:vAlign w:val="center"/>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auto"/>
                <w:spacing w:val="-20"/>
                <w:kern w:val="8"/>
                <w:sz w:val="24"/>
                <w:szCs w:val="24"/>
                <w:lang w:val="en-US" w:eastAsia="zh-CN"/>
              </w:rPr>
              <w:t>注：带“★”为实质性要求，不满足做无效响应处理。</w:t>
            </w:r>
          </w:p>
        </w:tc>
      </w:tr>
    </w:tbl>
    <w:p>
      <w:pPr>
        <w:autoSpaceDE w:val="0"/>
        <w:autoSpaceDN w:val="0"/>
        <w:snapToGrid w:val="0"/>
        <w:rPr>
          <w:color w:val="000000" w:themeColor="text1"/>
          <w:highlight w:val="none"/>
          <w:lang w:val="en-US"/>
          <w14:textFill>
            <w14:solidFill>
              <w14:schemeClr w14:val="tx1"/>
            </w14:solidFill>
          </w14:textFill>
        </w:rPr>
      </w:pPr>
      <w:bookmarkStart w:id="4" w:name="_GoBack"/>
      <w:bookmarkEnd w:id="4"/>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CC73E4"/>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7C64D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E94D24"/>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1A0F32"/>
    <w:rsid w:val="1A22510D"/>
    <w:rsid w:val="1A2617A7"/>
    <w:rsid w:val="1A2D67AE"/>
    <w:rsid w:val="1A30053D"/>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30E6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1381D"/>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7756FC"/>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24607"/>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04EB7"/>
    <w:rsid w:val="32293953"/>
    <w:rsid w:val="32314367"/>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420F56"/>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C7606F"/>
    <w:rsid w:val="36D84407"/>
    <w:rsid w:val="36E429C6"/>
    <w:rsid w:val="36E96615"/>
    <w:rsid w:val="36F23231"/>
    <w:rsid w:val="36FB4253"/>
    <w:rsid w:val="370074BA"/>
    <w:rsid w:val="37225683"/>
    <w:rsid w:val="373145A0"/>
    <w:rsid w:val="3732571E"/>
    <w:rsid w:val="37405B09"/>
    <w:rsid w:val="375A48DC"/>
    <w:rsid w:val="375E7B5E"/>
    <w:rsid w:val="376F5BE3"/>
    <w:rsid w:val="378C0D4E"/>
    <w:rsid w:val="378F69DD"/>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4B1"/>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0D1C51"/>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6E7A03"/>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80629"/>
    <w:rsid w:val="467A3FA6"/>
    <w:rsid w:val="468513C0"/>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C7ED1"/>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CD3BA1"/>
    <w:rsid w:val="4ACF6FC9"/>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6F66CB"/>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4FF0413"/>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54DD9"/>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0135"/>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12145B"/>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281862"/>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34BE3"/>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16F5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187A30"/>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250D31"/>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54F5B"/>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02D0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812AAC"/>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C5DEA"/>
    <w:rsid w:val="7D4D5E56"/>
    <w:rsid w:val="7D561391"/>
    <w:rsid w:val="7D5D42EC"/>
    <w:rsid w:val="7D6733BC"/>
    <w:rsid w:val="7D8767D9"/>
    <w:rsid w:val="7D8B70AB"/>
    <w:rsid w:val="7D8D0B46"/>
    <w:rsid w:val="7D9A43D7"/>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19</Pages>
  <Words>3214</Words>
  <Characters>3576</Characters>
  <Lines>34</Lines>
  <Paragraphs>9</Paragraphs>
  <TotalTime>1</TotalTime>
  <ScaleCrop>false</ScaleCrop>
  <LinksUpToDate>false</LinksUpToDate>
  <CharactersWithSpaces>3631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2025-10-22T10:38:09Z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591CD9DEA0F5418F8823A03279F41BDB_13</vt:lpwstr>
  </property>
  <property fmtid="{D5CDD505-2E9C-101B-9397-08002B2CF9AE}" pid="7" name="KSOTemplateDocerSaveRecord">
    <vt:lpwstr>eyJoZGlkIjoiOWNhMjc4YWUzNzQ1MDgxMzU1YTkyYWE2NWNmYzBkNWMiLCJ1c2VySWQiOiI3Njg2MzM3NDYifQ==</vt:lpwstr>
  </property>
</Properties>
</file>