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9006"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11" w:type="dxa"/>
            <w:vAlign w:val="center"/>
          </w:tcPr>
          <w:p>
            <w:pPr>
              <w:pStyle w:val="12"/>
              <w:wordWrap w:val="0"/>
              <w:autoSpaceDE/>
              <w:autoSpaceDN/>
              <w:spacing w:before="0" w:beforeAutospacing="0" w:after="0" w:afterAutospacing="0" w:line="360" w:lineRule="auto"/>
              <w:jc w:val="center"/>
              <w:rPr>
                <w:rFonts w:hint="eastAsia"/>
                <w:color w:val="000000" w:themeColor="text1"/>
                <w:lang w:val="en-US"/>
                <w14:textFill>
                  <w14:solidFill>
                    <w14:schemeClr w14:val="tx1"/>
                  </w14:solidFill>
                </w14:textFill>
              </w:rPr>
            </w:pPr>
            <w:r>
              <w:rPr>
                <w:rFonts w:hint="eastAsia"/>
                <w:color w:val="000000" w:themeColor="text1"/>
                <w:spacing w:val="-20"/>
                <w:kern w:val="8"/>
                <w:lang w:val="en-US"/>
                <w14:textFill>
                  <w14:solidFill>
                    <w14:schemeClr w14:val="tx1"/>
                  </w14:solidFill>
                </w14:textFill>
              </w:rPr>
              <w:t>床旁支气管镜</w:t>
            </w:r>
          </w:p>
        </w:tc>
        <w:tc>
          <w:tcPr>
            <w:tcW w:w="9006" w:type="dxa"/>
          </w:tcPr>
          <w:p>
            <w:pPr>
              <w:spacing w:line="360" w:lineRule="auto"/>
              <w:jc w:val="both"/>
              <w:rPr>
                <w:rFonts w:hint="eastAsia" w:ascii="宋体" w:hAnsi="宋体" w:eastAsia="宋体" w:cs="宋体"/>
                <w:b/>
                <w:bCs/>
                <w:sz w:val="24"/>
                <w:szCs w:val="32"/>
                <w:lang w:val="en-US"/>
              </w:rPr>
            </w:pPr>
            <w:r>
              <w:rPr>
                <w:rFonts w:hint="eastAsia" w:ascii="宋体" w:hAnsi="宋体" w:eastAsia="宋体" w:cs="宋体"/>
                <w:b/>
                <w:bCs/>
                <w:sz w:val="24"/>
                <w:szCs w:val="32"/>
                <w:lang w:val="en-US"/>
              </w:rPr>
              <w:t>一、操作手柄（含插入管）：</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1.适用范围：适用于气管、支气管及肺的观察、诊断、摄影或辅助治疗。</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▲2.成像原理：电子成像技术，先端头内含LED发光二极管，产品不含导像、导光纤维。</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3.含有LED发光光源，光束角≤120°、波长范围380-780nm、功耗≤95mW。</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▲4.软镜插入管外径≤5.2mm，工作管道内径≥2.8mm。</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5.插入部有效长度≥610mm,自带有白色刻度标识，有利于操作者辨别诊治时的插入长度。</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6.视场角≥120°；</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7.景深：3-100mm。</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8.插入管软管前端弯曲角度：向上弯曲≥180°，向下弯曲≥130°，双向弯曲≥310°，配合前端更小弯曲半径，精准诊疗。</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9.弯角手轮上应有操作方向U、D标记，角度把手调节至D处时，弯曲部向下弯曲，角度把手调节至U处时，弯曲部向上弯曲。</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10.操作手柄具备左右旋转关节和转轴定位点白色刻度标识，可带动插入软管部先端左右旋转，向左≥120°,向右≥120°。</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11.吸引阀座一体式防脱设计，解决吸引按钮易脱落的临床风险，无需专机专用耗材。</w:t>
            </w:r>
          </w:p>
          <w:p>
            <w:pPr>
              <w:spacing w:line="360" w:lineRule="auto"/>
              <w:jc w:val="both"/>
              <w:rPr>
                <w:rFonts w:hint="eastAsia" w:ascii="宋体" w:hAnsi="宋体" w:eastAsia="宋体" w:cs="宋体"/>
                <w:sz w:val="24"/>
                <w:szCs w:val="32"/>
                <w:lang w:val="en-US" w:eastAsia="zh-CN"/>
              </w:rPr>
            </w:pPr>
            <w:r>
              <w:rPr>
                <w:rFonts w:hint="eastAsia" w:ascii="宋体" w:hAnsi="宋体" w:eastAsia="宋体" w:cs="宋体"/>
                <w:sz w:val="24"/>
                <w:szCs w:val="32"/>
                <w:lang w:val="en-US"/>
              </w:rPr>
              <w:t>▲12.操作手柄具有至少3个具备独立电子功能的按键。</w:t>
            </w:r>
            <w:r>
              <w:rPr>
                <w:rFonts w:hint="eastAsia" w:ascii="宋体" w:hAnsi="宋体" w:eastAsia="宋体" w:cs="宋体"/>
                <w:sz w:val="24"/>
                <w:szCs w:val="32"/>
                <w:lang w:val="en-US" w:eastAsia="zh-CN"/>
              </w:rPr>
              <w:t>（提供产品说明书予以证明。）</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13.操作手柄上按键可控制大小屏切换功能；</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14.操作手柄上按键可控制拍照录像功能，可在图像冻结或录像的同时进行拍照；</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15.操作手柄上按键可控制图像冻结和解冻功能，提升病灶部位诊断精确度。</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16.内镜镜头具备防雾功能，无需预热即可观察。</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17.连接方式：立体式航空插座技术连接，有效避免传统点触式连接长时间使用后接触不良造成死机、卡屏。</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18.具备手柄连接座结构，应可用于连接防水盖以及视频连接头。</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19.操作部防水等级：IPX7。配备防水盖，可进行全浸泡消毒。</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20.消毒灭菌无需 ETO 帽、NT阀，无需更换配件。</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21.能通过 5.5 号及以上气管导管。</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★22.配置清单：</w:t>
            </w:r>
          </w:p>
          <w:p>
            <w:pPr>
              <w:numPr>
                <w:ilvl w:val="0"/>
                <w:numId w:val="2"/>
              </w:num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电子支气管内窥镜操作部</w:t>
            </w:r>
            <w:r>
              <w:rPr>
                <w:rFonts w:ascii="宋体" w:hAnsi="宋体" w:eastAsia="宋体" w:cs="宋体"/>
                <w:sz w:val="24"/>
                <w:szCs w:val="32"/>
                <w:lang w:val="en-US"/>
              </w:rPr>
              <w:t>(含内窥镜主控软件)一条</w:t>
            </w:r>
          </w:p>
          <w:p>
            <w:pPr>
              <w:numPr>
                <w:ilvl w:val="0"/>
                <w:numId w:val="2"/>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防水盖一个</w:t>
            </w:r>
          </w:p>
          <w:p>
            <w:pPr>
              <w:numPr>
                <w:ilvl w:val="0"/>
                <w:numId w:val="2"/>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活检阀帽五个</w:t>
            </w:r>
          </w:p>
          <w:p>
            <w:pPr>
              <w:numPr>
                <w:ilvl w:val="0"/>
                <w:numId w:val="2"/>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吸引按钮两个</w:t>
            </w:r>
          </w:p>
          <w:p>
            <w:pPr>
              <w:numPr>
                <w:ilvl w:val="0"/>
                <w:numId w:val="2"/>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便携测漏器一个</w:t>
            </w:r>
          </w:p>
          <w:p>
            <w:pPr>
              <w:numPr>
                <w:ilvl w:val="0"/>
                <w:numId w:val="2"/>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管道冲洗器一个</w:t>
            </w:r>
          </w:p>
          <w:p>
            <w:pPr>
              <w:numPr>
                <w:ilvl w:val="0"/>
                <w:numId w:val="2"/>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清洗刷一套</w:t>
            </w:r>
          </w:p>
          <w:p>
            <w:pPr>
              <w:numPr>
                <w:ilvl w:val="0"/>
                <w:numId w:val="2"/>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导管固定器两个</w:t>
            </w:r>
          </w:p>
          <w:p>
            <w:pPr>
              <w:spacing w:line="360" w:lineRule="auto"/>
              <w:jc w:val="both"/>
              <w:rPr>
                <w:rFonts w:hint="eastAsia" w:ascii="宋体" w:hAnsi="宋体" w:eastAsia="宋体" w:cs="宋体"/>
                <w:sz w:val="24"/>
                <w:szCs w:val="32"/>
                <w:lang w:val="en-US"/>
              </w:rPr>
            </w:pPr>
            <w:r>
              <w:rPr>
                <w:rFonts w:hint="eastAsia" w:ascii="宋体" w:hAnsi="宋体" w:eastAsia="宋体" w:cs="宋体"/>
                <w:b/>
                <w:bCs/>
                <w:sz w:val="24"/>
                <w:szCs w:val="32"/>
                <w:lang w:val="en-US"/>
              </w:rPr>
              <w:t>二、电子内窥镜图像处理器</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1.</w:t>
            </w:r>
            <w:r>
              <w:rPr>
                <w:rFonts w:ascii="宋体" w:hAnsi="宋体" w:eastAsia="宋体" w:cs="宋体"/>
                <w:sz w:val="24"/>
                <w:szCs w:val="32"/>
                <w:lang w:val="en-US"/>
              </w:rPr>
              <w:t>图像处理器</w:t>
            </w:r>
            <w:r>
              <w:rPr>
                <w:rFonts w:ascii="宋体" w:hAnsi="宋体" w:eastAsia="宋体" w:cs="宋体"/>
                <w:sz w:val="24"/>
                <w:szCs w:val="32"/>
                <w:lang w:val="en-US"/>
              </w:rPr>
              <w:tab/>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1</w:t>
            </w:r>
            <w:r>
              <w:rPr>
                <w:rFonts w:ascii="宋体" w:hAnsi="宋体" w:eastAsia="宋体" w:cs="宋体"/>
                <w:sz w:val="24"/>
                <w:szCs w:val="32"/>
                <w:lang w:val="en-US"/>
              </w:rPr>
              <w:t>)配备≥10.1英寸显示屏，支持电容触控，可进入设置菜单对图像处理内置功能进行设置，实现智能交互。</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2</w:t>
            </w:r>
            <w:r>
              <w:rPr>
                <w:rFonts w:ascii="宋体" w:hAnsi="宋体" w:eastAsia="宋体" w:cs="宋体"/>
                <w:sz w:val="24"/>
                <w:szCs w:val="32"/>
                <w:lang w:val="en-US"/>
              </w:rPr>
              <w:t>)显示屏：TFT-LCD，液晶玻璃。</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3</w:t>
            </w:r>
            <w:r>
              <w:rPr>
                <w:rFonts w:ascii="宋体" w:hAnsi="宋体" w:eastAsia="宋体" w:cs="宋体"/>
                <w:sz w:val="24"/>
                <w:szCs w:val="32"/>
                <w:lang w:val="en-US"/>
              </w:rPr>
              <w:t>)显示屏高宽比为16：10，最大视野可达170°。</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4</w:t>
            </w:r>
            <w:r>
              <w:rPr>
                <w:rFonts w:ascii="宋体" w:hAnsi="宋体" w:eastAsia="宋体" w:cs="宋体"/>
                <w:sz w:val="24"/>
                <w:szCs w:val="32"/>
                <w:lang w:val="en-US"/>
              </w:rPr>
              <w:t>)高清视频信号输出分辨率：</w:t>
            </w:r>
            <w:r>
              <w:rPr>
                <w:rFonts w:hint="eastAsia"/>
                <w:lang w:val="en-US"/>
              </w:rPr>
              <w:t>≥</w:t>
            </w:r>
            <w:r>
              <w:rPr>
                <w:rFonts w:ascii="宋体" w:hAnsi="宋体" w:eastAsia="宋体" w:cs="宋体"/>
                <w:sz w:val="24"/>
                <w:szCs w:val="32"/>
                <w:lang w:val="en-US"/>
              </w:rPr>
              <w:t>1280×800。</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5</w:t>
            </w:r>
            <w:r>
              <w:rPr>
                <w:rFonts w:ascii="宋体" w:hAnsi="宋体" w:eastAsia="宋体" w:cs="宋体"/>
                <w:sz w:val="24"/>
                <w:szCs w:val="32"/>
                <w:lang w:val="en-US"/>
              </w:rPr>
              <w:t>)开机时间≤5秒，一键开机即能使用。</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6</w:t>
            </w:r>
            <w:r>
              <w:rPr>
                <w:rFonts w:ascii="宋体" w:hAnsi="宋体" w:eastAsia="宋体" w:cs="宋体"/>
                <w:sz w:val="24"/>
                <w:szCs w:val="32"/>
                <w:lang w:val="en-US"/>
              </w:rPr>
              <w:t>)主机可实现至少3种图像比例设置，包括16:10、16.9和4:3</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7</w:t>
            </w:r>
            <w:r>
              <w:rPr>
                <w:rFonts w:ascii="宋体" w:hAnsi="宋体" w:eastAsia="宋体" w:cs="宋体"/>
                <w:sz w:val="24"/>
                <w:szCs w:val="32"/>
                <w:lang w:val="en-US"/>
              </w:rPr>
              <w:t>)具有≥3种图像形状。</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8</w:t>
            </w:r>
            <w:r>
              <w:rPr>
                <w:rFonts w:ascii="宋体" w:hAnsi="宋体" w:eastAsia="宋体" w:cs="宋体"/>
                <w:sz w:val="24"/>
                <w:szCs w:val="32"/>
                <w:lang w:val="en-US"/>
              </w:rPr>
              <w:t>)具有图像翻转功能，可上下、左右180°翻转。</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9</w:t>
            </w:r>
            <w:r>
              <w:rPr>
                <w:rFonts w:ascii="宋体" w:hAnsi="宋体" w:eastAsia="宋体" w:cs="宋体"/>
                <w:sz w:val="24"/>
                <w:szCs w:val="32"/>
                <w:lang w:val="en-US"/>
              </w:rPr>
              <w:t>)数据导出：可将录像视频导出至存储卡，方便医护人员对检查患者资料的管理。</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0</w:t>
            </w:r>
            <w:r>
              <w:rPr>
                <w:rFonts w:ascii="宋体" w:hAnsi="宋体" w:eastAsia="宋体" w:cs="宋体"/>
                <w:sz w:val="24"/>
                <w:szCs w:val="32"/>
                <w:lang w:val="en-US"/>
              </w:rPr>
              <w:t>)具有可实时观察与记录功能，且可一键隐藏所有按键功能。有利于临床操作使用。</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1</w:t>
            </w:r>
            <w:r>
              <w:rPr>
                <w:rFonts w:ascii="宋体" w:hAnsi="宋体" w:eastAsia="宋体" w:cs="宋体"/>
                <w:sz w:val="24"/>
                <w:szCs w:val="32"/>
                <w:lang w:val="en-US"/>
              </w:rPr>
              <w:t>)具备录像，录音功能，可以实现带音频录像的实时存储。</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2</w:t>
            </w:r>
            <w:r>
              <w:rPr>
                <w:rFonts w:ascii="宋体" w:hAnsi="宋体" w:eastAsia="宋体" w:cs="宋体"/>
                <w:sz w:val="24"/>
                <w:szCs w:val="32"/>
                <w:lang w:val="en-US"/>
              </w:rPr>
              <w:t>)具有摄录时间长短提示功能与循环摄录功能及电量智能检测指示标示（用于显示充电电量或适配器连接充电提示）。</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3</w:t>
            </w:r>
            <w:r>
              <w:rPr>
                <w:rFonts w:ascii="宋体" w:hAnsi="宋体" w:eastAsia="宋体" w:cs="宋体"/>
                <w:sz w:val="24"/>
                <w:szCs w:val="32"/>
                <w:lang w:val="en-US"/>
              </w:rPr>
              <w:t>)图像可全屏显示。</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4</w:t>
            </w:r>
            <w:r>
              <w:rPr>
                <w:rFonts w:ascii="宋体" w:hAnsi="宋体" w:eastAsia="宋体" w:cs="宋体"/>
                <w:sz w:val="24"/>
                <w:szCs w:val="32"/>
                <w:lang w:val="en-US"/>
              </w:rPr>
              <w:t>)亮度调节：</w:t>
            </w:r>
            <w:r>
              <w:rPr>
                <w:rFonts w:hint="eastAsia" w:ascii="宋体" w:hAnsi="宋体" w:eastAsia="宋体" w:cs="宋体"/>
                <w:sz w:val="24"/>
                <w:szCs w:val="32"/>
                <w:lang w:val="en-US"/>
              </w:rPr>
              <w:t>至少具备</w:t>
            </w:r>
            <w:r>
              <w:rPr>
                <w:rFonts w:ascii="宋体" w:hAnsi="宋体" w:eastAsia="宋体" w:cs="宋体"/>
                <w:sz w:val="24"/>
                <w:szCs w:val="32"/>
                <w:lang w:val="en-US"/>
              </w:rPr>
              <w:t>3级亮度调节，可调节配套使用的电子内窥镜上的LED灯的亮度（非仅调节显示屏幕亮度）,且具备关灯功能。本条款所述参数内容应体现于产品说明书之中。</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5</w:t>
            </w:r>
            <w:r>
              <w:rPr>
                <w:rFonts w:ascii="宋体" w:hAnsi="宋体" w:eastAsia="宋体" w:cs="宋体"/>
                <w:sz w:val="24"/>
                <w:szCs w:val="32"/>
                <w:lang w:val="en-US"/>
              </w:rPr>
              <w:t>)TV输出制式：可选PAL与NTSC，兼容不同地区的电视标准。</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6</w:t>
            </w:r>
            <w:r>
              <w:rPr>
                <w:rFonts w:ascii="宋体" w:hAnsi="宋体" w:eastAsia="宋体" w:cs="宋体"/>
                <w:sz w:val="24"/>
                <w:szCs w:val="32"/>
                <w:lang w:val="en-US"/>
              </w:rPr>
              <w:t>)可进行色彩参数调节，包括对比度、饱和度及亮度。</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7</w:t>
            </w:r>
            <w:r>
              <w:rPr>
                <w:rFonts w:ascii="宋体" w:hAnsi="宋体" w:eastAsia="宋体" w:cs="宋体"/>
                <w:sz w:val="24"/>
                <w:szCs w:val="32"/>
                <w:lang w:val="en-US"/>
              </w:rPr>
              <w:t>)可设置开机后输入管理用户的账号密码，输入正确可查看产品的实时图像及更改系统设置。</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(1</w:t>
            </w:r>
            <w:r>
              <w:rPr>
                <w:rFonts w:hint="eastAsia" w:ascii="宋体" w:hAnsi="宋体" w:eastAsia="宋体" w:cs="宋体"/>
                <w:sz w:val="24"/>
                <w:szCs w:val="32"/>
                <w:lang w:val="en-US" w:eastAsia="zh-CN"/>
              </w:rPr>
              <w:t>8</w:t>
            </w:r>
            <w:r>
              <w:rPr>
                <w:rFonts w:ascii="宋体" w:hAnsi="宋体" w:eastAsia="宋体" w:cs="宋体"/>
                <w:sz w:val="24"/>
                <w:szCs w:val="32"/>
                <w:lang w:val="en-US"/>
              </w:rPr>
              <w:t>)具有CVBS、DVI两种信号输出方式，可通过转接头兼容其他常规信号接口接入。</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w:t>
            </w:r>
            <w:r>
              <w:rPr>
                <w:rFonts w:hint="eastAsia" w:ascii="宋体" w:hAnsi="宋体" w:eastAsia="宋体" w:cs="宋体"/>
                <w:sz w:val="24"/>
                <w:szCs w:val="32"/>
                <w:lang w:val="en-US" w:eastAsia="zh-CN"/>
              </w:rPr>
              <w:t>19</w:t>
            </w:r>
            <w:r>
              <w:rPr>
                <w:rFonts w:ascii="宋体" w:hAnsi="宋体" w:eastAsia="宋体" w:cs="宋体"/>
                <w:sz w:val="24"/>
                <w:szCs w:val="32"/>
                <w:lang w:val="en-US"/>
              </w:rPr>
              <w:t>)能够同时连接两条内窥镜，具备2路信号输入接口及双镜切换物理按键，切换实时视频输入信号。本条款所述参数内容应体现于产品说明书之中。</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(2</w:t>
            </w:r>
            <w:r>
              <w:rPr>
                <w:rFonts w:hint="eastAsia" w:ascii="宋体" w:hAnsi="宋体" w:eastAsia="宋体" w:cs="宋体"/>
                <w:sz w:val="24"/>
                <w:szCs w:val="32"/>
                <w:lang w:val="en-US" w:eastAsia="zh-CN"/>
              </w:rPr>
              <w:t>0</w:t>
            </w:r>
            <w:r>
              <w:rPr>
                <w:rFonts w:ascii="宋体" w:hAnsi="宋体" w:eastAsia="宋体" w:cs="宋体"/>
                <w:sz w:val="24"/>
                <w:szCs w:val="32"/>
                <w:lang w:val="en-US"/>
              </w:rPr>
              <w:t>)立体式航空插座技术连接，有效避免传统点触式连接长时间使用后接触不良造成死机、卡屏。</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▲(2</w:t>
            </w:r>
            <w:r>
              <w:rPr>
                <w:rFonts w:hint="eastAsia" w:ascii="宋体" w:hAnsi="宋体" w:eastAsia="宋体" w:cs="宋体"/>
                <w:sz w:val="24"/>
                <w:szCs w:val="32"/>
                <w:lang w:val="en-US" w:eastAsia="zh-CN"/>
              </w:rPr>
              <w:t>1</w:t>
            </w:r>
            <w:r>
              <w:rPr>
                <w:rFonts w:ascii="宋体" w:hAnsi="宋体" w:eastAsia="宋体" w:cs="宋体"/>
                <w:sz w:val="24"/>
                <w:szCs w:val="32"/>
                <w:lang w:val="en-US"/>
              </w:rPr>
              <w:t>)具有内存卡插槽或可通过外接USB储存信息，内存卡插槽最高可支持插入容量为 128G 的标准 SD 存储卡。本条款所述参数内容应体现于产品说明书之中。</w:t>
            </w:r>
          </w:p>
          <w:p>
            <w:p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(2</w:t>
            </w:r>
            <w:r>
              <w:rPr>
                <w:rFonts w:hint="eastAsia" w:ascii="宋体" w:hAnsi="宋体" w:eastAsia="宋体" w:cs="宋体"/>
                <w:sz w:val="24"/>
                <w:szCs w:val="32"/>
                <w:lang w:val="en-US" w:eastAsia="zh-CN"/>
              </w:rPr>
              <w:t>2</w:t>
            </w:r>
            <w:r>
              <w:rPr>
                <w:rFonts w:ascii="宋体" w:hAnsi="宋体" w:eastAsia="宋体" w:cs="宋体"/>
                <w:sz w:val="24"/>
                <w:szCs w:val="32"/>
                <w:lang w:val="en-US"/>
              </w:rPr>
              <w:t>)可选配视频转接线：搭配指定型号内镜时可选配180度可旋转的视频转接线，调整视频线方向，配合更多诊疗操作。</w:t>
            </w:r>
          </w:p>
          <w:p>
            <w:pPr>
              <w:widowControl/>
              <w:spacing w:line="360" w:lineRule="auto"/>
              <w:jc w:val="left"/>
              <w:rPr>
                <w:rFonts w:hint="eastAsia" w:ascii="宋体" w:hAnsi="宋体" w:eastAsia="宋体"/>
                <w:sz w:val="24"/>
                <w:szCs w:val="24"/>
              </w:rPr>
            </w:pPr>
            <w:r>
              <w:rPr>
                <w:rFonts w:hint="eastAsia" w:ascii="宋体" w:hAnsi="宋体" w:eastAsia="宋体" w:cs="宋体"/>
                <w:sz w:val="24"/>
                <w:szCs w:val="32"/>
                <w:lang w:val="en-US"/>
              </w:rPr>
              <w:t>2.供电方式</w:t>
            </w:r>
            <w:r>
              <w:rPr>
                <w:rFonts w:hint="eastAsia" w:ascii="宋体" w:hAnsi="宋体" w:eastAsia="宋体" w:cs="宋体"/>
                <w:sz w:val="24"/>
                <w:szCs w:val="32"/>
                <w:lang w:val="en-US"/>
              </w:rPr>
              <w:tab/>
            </w:r>
          </w:p>
          <w:p>
            <w:pPr>
              <w:widowControl/>
              <w:spacing w:line="360" w:lineRule="auto"/>
              <w:jc w:val="left"/>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电池供电：具有内置可充电电池,一次充满电的内部电源连续工作时间不小于4小时。</w:t>
            </w:r>
          </w:p>
          <w:p>
            <w:pPr>
              <w:spacing w:line="360" w:lineRule="auto"/>
              <w:jc w:val="both"/>
              <w:rPr>
                <w:rFonts w:hint="eastAsia" w:ascii="宋体" w:hAnsi="宋体" w:eastAsia="宋体"/>
                <w:sz w:val="24"/>
                <w:szCs w:val="24"/>
              </w:rPr>
            </w:pPr>
            <w:r>
              <w:rPr>
                <w:rFonts w:ascii="宋体" w:hAnsi="宋体" w:eastAsia="宋体" w:cs="宋体"/>
                <w:sz w:val="24"/>
                <w:szCs w:val="32"/>
                <w:lang w:val="en-US"/>
              </w:rPr>
              <w:t>(2)</w:t>
            </w:r>
            <w:r>
              <w:rPr>
                <w:rFonts w:hint="eastAsia" w:ascii="宋体" w:hAnsi="宋体" w:eastAsia="宋体"/>
                <w:sz w:val="24"/>
                <w:szCs w:val="24"/>
              </w:rPr>
              <w:t>交流电供电：可通过接入DC适配器连接交流电使用，可通过适配器实现24小时连续工作。</w:t>
            </w:r>
          </w:p>
          <w:p>
            <w:pPr>
              <w:spacing w:line="360" w:lineRule="auto"/>
              <w:jc w:val="both"/>
              <w:rPr>
                <w:rFonts w:hint="eastAsia" w:ascii="宋体" w:hAnsi="宋体" w:eastAsia="宋体" w:cs="宋体"/>
                <w:sz w:val="24"/>
                <w:szCs w:val="32"/>
                <w:lang w:val="en-US"/>
              </w:rPr>
            </w:pPr>
            <w:r>
              <w:rPr>
                <w:rFonts w:hint="eastAsia" w:ascii="宋体" w:hAnsi="宋体" w:eastAsia="宋体" w:cs="宋体"/>
                <w:sz w:val="24"/>
                <w:szCs w:val="32"/>
                <w:lang w:val="en-US"/>
              </w:rPr>
              <w:t>★3.配置清单：</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电子内窥镜图像处理器（含主控软件）一台</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电源适配器（含电源线）一套</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SD存储卡64G一个</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SD卡读卡器一个</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视频转接线一条</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DVI-DVI视频线一条</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BNC-BNC视频线一条</w:t>
            </w:r>
          </w:p>
          <w:p>
            <w:pPr>
              <w:numPr>
                <w:ilvl w:val="0"/>
                <w:numId w:val="3"/>
              </w:numPr>
              <w:spacing w:line="360" w:lineRule="auto"/>
              <w:jc w:val="both"/>
              <w:rPr>
                <w:rFonts w:hint="eastAsia" w:ascii="宋体" w:hAnsi="宋体" w:eastAsia="宋体" w:cs="宋体"/>
                <w:sz w:val="24"/>
                <w:szCs w:val="32"/>
                <w:lang w:val="en-US"/>
              </w:rPr>
            </w:pPr>
            <w:r>
              <w:rPr>
                <w:rFonts w:ascii="宋体" w:hAnsi="宋体" w:eastAsia="宋体" w:cs="宋体"/>
                <w:sz w:val="24"/>
                <w:szCs w:val="32"/>
                <w:lang w:val="en-US"/>
              </w:rPr>
              <w:t>音频收集器一个</w:t>
            </w:r>
          </w:p>
          <w:p>
            <w:pPr>
              <w:spacing w:line="360" w:lineRule="auto"/>
              <w:jc w:val="both"/>
              <w:rPr>
                <w:rFonts w:hint="eastAsia"/>
                <w:lang w:val="en-US"/>
              </w:rPr>
            </w:pPr>
            <w:r>
              <w:rPr>
                <w:rFonts w:hint="eastAsia" w:ascii="宋体" w:hAnsi="宋体" w:eastAsia="宋体" w:cs="宋体"/>
                <w:sz w:val="24"/>
                <w:szCs w:val="32"/>
                <w:lang w:val="en-US"/>
              </w:rPr>
              <w:t>注：参数中带“▲”标注为重要技术参数，未标注特殊符号的为一般技术参数。参数中带“★”标注为实质性要求，供应商若不满足做无效响应处理。</w:t>
            </w:r>
          </w:p>
        </w:tc>
      </w:tr>
    </w:tbl>
    <w:p>
      <w:pPr>
        <w:snapToGrid w:val="0"/>
        <w:rPr>
          <w:rFonts w:hint="eastAsia"/>
          <w:color w:val="000000" w:themeColor="text1"/>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hint="eastAsia"/>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hint="eastAsia"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hint="eastAsia"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rFonts w:hint="eastAsia"/>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rFonts w:hint="eastAsia"/>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rFonts w:hint="eastAsia"/>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F4D0"/>
    <w:multiLevelType w:val="singleLevel"/>
    <w:tmpl w:val="9B2BF4D0"/>
    <w:lvl w:ilvl="0" w:tentative="0">
      <w:start w:val="1"/>
      <w:numFmt w:val="decimal"/>
      <w:lvlText w:val="(%1)"/>
      <w:lvlJc w:val="left"/>
      <w:pPr>
        <w:ind w:left="425" w:hanging="425"/>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045E97D"/>
    <w:multiLevelType w:val="singleLevel"/>
    <w:tmpl w:val="5045E97D"/>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4Y2YzOGFjN2M2Yzk3ZWNhMjYwYmMzYTlmN2U2OTEifQ=="/>
  </w:docVars>
  <w:rsids>
    <w:rsidRoot w:val="00F83EA0"/>
    <w:rsid w:val="00010A45"/>
    <w:rsid w:val="00060C6A"/>
    <w:rsid w:val="001A51C5"/>
    <w:rsid w:val="001C04B8"/>
    <w:rsid w:val="001E77D4"/>
    <w:rsid w:val="0028188F"/>
    <w:rsid w:val="00292096"/>
    <w:rsid w:val="00294959"/>
    <w:rsid w:val="0031764E"/>
    <w:rsid w:val="003277D3"/>
    <w:rsid w:val="00400ED6"/>
    <w:rsid w:val="00463536"/>
    <w:rsid w:val="004A3F26"/>
    <w:rsid w:val="004C1C59"/>
    <w:rsid w:val="0050638A"/>
    <w:rsid w:val="00521423"/>
    <w:rsid w:val="0052684E"/>
    <w:rsid w:val="005319D6"/>
    <w:rsid w:val="0054409B"/>
    <w:rsid w:val="005867C5"/>
    <w:rsid w:val="00592FC7"/>
    <w:rsid w:val="005F2AE0"/>
    <w:rsid w:val="0066795B"/>
    <w:rsid w:val="00686480"/>
    <w:rsid w:val="00694041"/>
    <w:rsid w:val="00763360"/>
    <w:rsid w:val="0079312A"/>
    <w:rsid w:val="007934A9"/>
    <w:rsid w:val="007A1658"/>
    <w:rsid w:val="007A53C0"/>
    <w:rsid w:val="007F40F2"/>
    <w:rsid w:val="00821D3F"/>
    <w:rsid w:val="008754A7"/>
    <w:rsid w:val="0088300F"/>
    <w:rsid w:val="008917C4"/>
    <w:rsid w:val="008F4480"/>
    <w:rsid w:val="009271A7"/>
    <w:rsid w:val="009511AC"/>
    <w:rsid w:val="009D1421"/>
    <w:rsid w:val="009D555B"/>
    <w:rsid w:val="00A65DB5"/>
    <w:rsid w:val="00A75816"/>
    <w:rsid w:val="00AB1812"/>
    <w:rsid w:val="00B368DD"/>
    <w:rsid w:val="00B93731"/>
    <w:rsid w:val="00C176C2"/>
    <w:rsid w:val="00C3616D"/>
    <w:rsid w:val="00C579A8"/>
    <w:rsid w:val="00C621A8"/>
    <w:rsid w:val="00CA6986"/>
    <w:rsid w:val="00CF1785"/>
    <w:rsid w:val="00D410EB"/>
    <w:rsid w:val="00D43E43"/>
    <w:rsid w:val="00D5247A"/>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0FE30F5"/>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6A3D04"/>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4C10DA"/>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BC6A3D"/>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822ED"/>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87863"/>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A2751"/>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9D63CB"/>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B66E24"/>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E59E0"/>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4B0BE5"/>
    <w:rsid w:val="1F5A72D6"/>
    <w:rsid w:val="1F5F4ACA"/>
    <w:rsid w:val="1F5F550C"/>
    <w:rsid w:val="1F6E513F"/>
    <w:rsid w:val="1F7532BF"/>
    <w:rsid w:val="1FA344F2"/>
    <w:rsid w:val="1FAF67FD"/>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E5472C"/>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77E70"/>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1773D"/>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105EF"/>
    <w:rsid w:val="28357004"/>
    <w:rsid w:val="285D2747"/>
    <w:rsid w:val="28650375"/>
    <w:rsid w:val="28732366"/>
    <w:rsid w:val="287C4B6C"/>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2A248A"/>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D42196"/>
    <w:rsid w:val="31E3122A"/>
    <w:rsid w:val="31EB7F82"/>
    <w:rsid w:val="31F55309"/>
    <w:rsid w:val="31FB1E19"/>
    <w:rsid w:val="31FE7658"/>
    <w:rsid w:val="32293953"/>
    <w:rsid w:val="3240150B"/>
    <w:rsid w:val="324E1A61"/>
    <w:rsid w:val="325B450E"/>
    <w:rsid w:val="325E438B"/>
    <w:rsid w:val="32696CB3"/>
    <w:rsid w:val="32743BD6"/>
    <w:rsid w:val="32791965"/>
    <w:rsid w:val="328C7453"/>
    <w:rsid w:val="32925116"/>
    <w:rsid w:val="3292708E"/>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D0DE2"/>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B140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011F8"/>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4D4508"/>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E366CD"/>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9E1A15"/>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1C0184"/>
    <w:rsid w:val="495E69EE"/>
    <w:rsid w:val="496B4C67"/>
    <w:rsid w:val="496F29A9"/>
    <w:rsid w:val="49920446"/>
    <w:rsid w:val="49975A5C"/>
    <w:rsid w:val="499A379E"/>
    <w:rsid w:val="499E328F"/>
    <w:rsid w:val="499F393A"/>
    <w:rsid w:val="49A14B2D"/>
    <w:rsid w:val="49AB002C"/>
    <w:rsid w:val="49AD3A0C"/>
    <w:rsid w:val="49B07884"/>
    <w:rsid w:val="49BF6D61"/>
    <w:rsid w:val="49D11BF8"/>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A274DA"/>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A2593"/>
    <w:rsid w:val="50FC6397"/>
    <w:rsid w:val="50FD7598"/>
    <w:rsid w:val="51287180"/>
    <w:rsid w:val="51342B0E"/>
    <w:rsid w:val="51397490"/>
    <w:rsid w:val="51575520"/>
    <w:rsid w:val="5158467A"/>
    <w:rsid w:val="515A77A5"/>
    <w:rsid w:val="5167040A"/>
    <w:rsid w:val="516A7EFA"/>
    <w:rsid w:val="518965D2"/>
    <w:rsid w:val="51932220"/>
    <w:rsid w:val="519B66F3"/>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871834"/>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9837F0"/>
    <w:rsid w:val="599B4B71"/>
    <w:rsid w:val="59A4434A"/>
    <w:rsid w:val="59A73A9A"/>
    <w:rsid w:val="59B63CDD"/>
    <w:rsid w:val="59C02DAD"/>
    <w:rsid w:val="59F14D15"/>
    <w:rsid w:val="5A015DDB"/>
    <w:rsid w:val="5A025384"/>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001D7"/>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C1CB7"/>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2DCB"/>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0610"/>
    <w:rsid w:val="6BA42AD5"/>
    <w:rsid w:val="6BA442DD"/>
    <w:rsid w:val="6BAA566B"/>
    <w:rsid w:val="6BB566B1"/>
    <w:rsid w:val="6BC543EB"/>
    <w:rsid w:val="6BCA186A"/>
    <w:rsid w:val="6BD277B9"/>
    <w:rsid w:val="6BD66460"/>
    <w:rsid w:val="6BD72F65"/>
    <w:rsid w:val="6BDF1867"/>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CC79C1"/>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24854"/>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2F536C"/>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D55DE"/>
    <w:rsid w:val="792E7984"/>
    <w:rsid w:val="79343296"/>
    <w:rsid w:val="79366790"/>
    <w:rsid w:val="794F0863"/>
    <w:rsid w:val="795A5FDB"/>
    <w:rsid w:val="7963390B"/>
    <w:rsid w:val="799930EF"/>
    <w:rsid w:val="799A6D1F"/>
    <w:rsid w:val="799D305A"/>
    <w:rsid w:val="79A27982"/>
    <w:rsid w:val="79A74F98"/>
    <w:rsid w:val="79B57AA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字符"/>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bidi="ar-SA"/>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lang w:val="en-US" w:eastAsia="zh-CN" w:bidi="ar-SA"/>
    </w:rPr>
  </w:style>
  <w:style w:type="paragraph" w:customStyle="1" w:styleId="38">
    <w:name w:val="正文 New"/>
    <w:basedOn w:val="1"/>
    <w:qFormat/>
    <w:uiPriority w:val="0"/>
    <w:pPr>
      <w:spacing w:before="100" w:beforeAutospacing="1" w:after="100" w:afterAutospacing="1" w:line="440" w:lineRule="exact"/>
      <w:ind w:left="357" w:hanging="357"/>
    </w:pPr>
  </w:style>
  <w:style w:type="character" w:customStyle="1" w:styleId="39">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18</Pages>
  <Words>4932</Words>
  <Characters>5130</Characters>
  <Lines>427</Lines>
  <Paragraphs>372</Paragraphs>
  <TotalTime>21</TotalTime>
  <ScaleCrop>false</ScaleCrop>
  <LinksUpToDate>false</LinksUpToDate>
  <CharactersWithSpaces>9690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2025-09-10T01:46:00Z</dcterms:created>
  <dc:creator>后勤中心</dc:creator>
  <cp:lastModifiedBy>苏仁杰</cp:lastModifiedBy>
  <cp:lastPrinted>2025-06-05T04:01:00Z</cp:lastPrinted>
  <dcterms:modified xsi:type="dcterms:W3CDTF">2025-09-17T11:57:46Z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960A4B995E1A4469B45DDBE83B69FC2F_13</vt:lpwstr>
  </property>
  <property fmtid="{D5CDD505-2E9C-101B-9397-08002B2CF9AE}" pid="7" name="KSOTemplateDocerSaveRecord">
    <vt:lpwstr>eyJoZGlkIjoiYzIxMTZkNmM3NGMyZGYwY2Y2NTZkMTJmMWM3ZTUzM2MiLCJ1c2VySWQiOiI3MTE3MzI4MzAifQ==</vt:lpwstr>
  </property>
</Properties>
</file>