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t>AED便携式除颤仪</w:t>
            </w:r>
          </w:p>
        </w:tc>
        <w:tc>
          <w:tcPr>
            <w:tcW w:w="9006" w:type="dxa"/>
            <w:vAlign w:val="top"/>
          </w:tcPr>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1、重量：≤6.1kg，含电池、体外板和心电导联线。</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2、彩色TFT显示屏≥</w:t>
            </w:r>
            <w:r>
              <w:rPr>
                <w:rFonts w:hint="eastAsia" w:ascii="宋体" w:hAnsi="宋体" w:eastAsia="宋体" w:cs="宋体"/>
                <w:color w:val="000000" w:themeColor="text1"/>
                <w:sz w:val="22"/>
                <w:szCs w:val="22"/>
                <w:lang w:val="en-US" w:eastAsia="zh-CN"/>
                <w14:textFill>
                  <w14:solidFill>
                    <w14:schemeClr w14:val="tx1"/>
                  </w14:solidFill>
                </w14:textFill>
              </w:rPr>
              <w:t>7英寸, 分辨率≥800×480像素，可显示≥3通道监护参数波形，有高对比度显示界面。</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3、支持中文操作界面。屏幕显示心电波形扫描时间≥16s。</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4、具备手动除颤、心电监护、呼吸监护，AED功能适用于年龄＞29天人群。</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5、除颤采用双相波技术，具备自动阻抗补偿功能。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6、手动除颤分为同步和非同步两种方式，能量分20档以上，可通过体外电极板进行能量选择，最大能量≥360J。</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7、支持≥三种尺寸体内除颤电极板，适用不同病人类型。</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8、体外除颤电极板同时支持成人和小儿，一体化设计，支持快速切换。</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9、电极板支持能量选择，充电和放电三步操作，满足单人除颤操作。</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10、AED除颤功能提供中文语音和中文提醒功能，对于抢救过程支持自动录音功能，记录时长≥60min。</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11、开机时间≤2s，符合临床使用。除颤充电迅速，充电至20</w:t>
            </w:r>
            <w:r>
              <w:rPr>
                <w:rFonts w:hint="eastAsia" w:ascii="宋体" w:hAnsi="宋体" w:eastAsia="宋体" w:cs="宋体"/>
                <w:color w:val="000000" w:themeColor="text1"/>
                <w:sz w:val="22"/>
                <w:szCs w:val="22"/>
                <w:lang w:val="en-US" w:eastAsia="zh-CN"/>
                <w14:textFill>
                  <w14:solidFill>
                    <w14:schemeClr w14:val="tx1"/>
                  </w14:solidFill>
                </w14:textFill>
              </w:rPr>
              <w:t>0J≤4s。</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12、除颤后心电基线恢复时间≤2.5s。</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13、从开始AED分析到放电准备就绪≤10s。</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14、支持病人接触状态和阻抗值实时显示。</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15、支持配置体外起搏功能，起搏分为固定和按需两种模式，具备降速起搏功能。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16、心电波形速度支持50 mm/s、25 mm/s、12、5 mm/s、6、25 mm/s。</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17、通过心电电极片可监测的心律失常分析种类≥24种。</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18、提供的监护参数适用于成人，小儿和新生儿。</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19、无创血压收缩压测量范围：25-290mmHg（成人）、25-240mmHg（小儿）、25-140mmHg（新生儿），舒张压测量范围：10-250mmHg（成人）、10-200mmHg（小儿），10-115mmHg（新生儿）。</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20、配置1块外置智能锂电池，可支持200J除颤≥300次。</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21、具备生理报警和技术报警功能，通过声音、文字和灯光3种方式进行报警。</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22、配置50mm记录纸记录仪，自动打印除颤记录，单次波形记录时间最大不小于30s；支持连续波形记录。</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23、可存储至少10小时连续ECG波形，数据可导出至电脑查看。</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24、关机状态下设备支持每天定时自动运行自检（含监护模块和治疗模块），支持定期自动大能量自检（最大放电能量）。</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25、设备自检后支持对于自检报告进行自动打印或</w:t>
            </w:r>
            <w:r>
              <w:rPr>
                <w:rFonts w:hint="eastAsia" w:ascii="宋体" w:hAnsi="宋体" w:eastAsia="宋体" w:cs="宋体"/>
                <w:color w:val="000000" w:themeColor="text1"/>
                <w:sz w:val="22"/>
                <w:szCs w:val="22"/>
                <w:lang w:val="en-US" w:eastAsia="zh-CN"/>
                <w14:textFill>
                  <w14:solidFill>
                    <w14:schemeClr w14:val="tx1"/>
                  </w14:solidFill>
                </w14:textFill>
              </w:rPr>
              <w:t>按需打印。</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26、具备良好的防尘防水性能，防尘防水级别</w:t>
            </w:r>
            <w:r>
              <w:rPr>
                <w:rFonts w:hint="default"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IP44。</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27、具备优异的抗跌落性能，裸机可承受至少0.75m跌落冲击。</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color w:val="auto"/>
                <w:sz w:val="22"/>
                <w:szCs w:val="22"/>
                <w:lang w:val="en-US" w:eastAsia="zh-CN"/>
              </w:rPr>
              <w:t>28、工作环境，温度范围：0°C-45°C，湿度范围：15%-95%，大气压范围：57.0 kPa ～ 106.2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pPr>
            <w:r>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自动体外除颤器</w:t>
            </w:r>
          </w:p>
        </w:tc>
        <w:tc>
          <w:tcPr>
            <w:tcW w:w="9006" w:type="dxa"/>
            <w:vAlign w:val="top"/>
          </w:tcPr>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1、物理规格/性能：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（1）整机重量（含电池）≤2.6kg。设备具备便携把手。</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（2）抗冲击/跌落性能：具备抗冲击/跌落性能，机器六面均可承受1.5m跌落冲击。</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（3）防尘防水级别：设备具有良好的防尘防水设计，防尘防水级别</w:t>
            </w:r>
            <w:r>
              <w:rPr>
                <w:rFonts w:hint="default"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IP55。</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（4）工作温度范围至少满足 -5℃至50℃，且从室温环境下进入-20℃ 环境后，至少能工作60分钟。工作湿度范围至少满足5%-95%非冷凝。</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2、除颤性能：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（1）采用双相波技术，双相指数截断（BTE）波形，波形参数可根据病人阻抗进行自动补偿。</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（2）输出能量：成人最大能量可支持 360J。从开机到 200J 放电准备就绪用时＜7s。开始 AED 分析到 200J 放电准备就绪时间＜5s。</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3、除颤电极片：</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（1）类型：提供与机器配套的</w:t>
            </w:r>
            <w:r>
              <w:rPr>
                <w:rFonts w:hint="eastAsia" w:ascii="宋体" w:hAnsi="宋体" w:eastAsia="宋体" w:cs="宋体"/>
                <w:color w:val="000000" w:themeColor="text1"/>
                <w:sz w:val="22"/>
                <w:szCs w:val="22"/>
                <w:lang w:val="en-US" w:eastAsia="zh-CN"/>
                <w14:textFill>
                  <w14:solidFill>
                    <w14:schemeClr w14:val="tx1"/>
                  </w14:solidFill>
                </w14:textFill>
              </w:rPr>
              <w:t>电极片，具有明显的指示粘贴部位标记，防止粘贴错误，粘贴无效时有语音提示。备用状态时电极片不可裸露，取用AED过程中不得散落。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（2）电极片有效期：</w:t>
            </w:r>
            <w:r>
              <w:rPr>
                <w:rFonts w:hint="default"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5年。</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（3）在待机状态，电极片与主机预先连接，节省了开机后插入电极片步骤，提高抢救效率。</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（4）电极片上具有电极片粘贴方式示意图。主机上有电极片粘贴位置动画提示。具有电极片有效期自检功能和电极片过期提示。可自动识别成人、小儿电极片，并根据电极片类型自动选择对应的除颤能量。</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（5）提供智能语音播报。设备根据急救人员响应速度，智能提示急救人员除去病人的衣物、粘贴电极片。</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4、电池：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（1）在室温温度环境下，电池</w:t>
            </w:r>
            <w:r>
              <w:rPr>
                <w:rFonts w:hint="eastAsia" w:ascii="宋体" w:hAnsi="宋体" w:eastAsia="宋体" w:cs="宋体"/>
                <w:color w:val="000000" w:themeColor="text1"/>
                <w:sz w:val="22"/>
                <w:szCs w:val="22"/>
                <w:lang w:val="en-US" w:eastAsia="zh-CN"/>
                <w14:textFill>
                  <w14:solidFill>
                    <w14:schemeClr w14:val="tx1"/>
                  </w14:solidFill>
                </w14:textFill>
              </w:rPr>
              <w:t>待机寿命</w:t>
            </w:r>
            <w:r>
              <w:rPr>
                <w:rFonts w:hint="default"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6年。</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（2）至少可支持350次200J除颤治疗或200次360J除颤治疗。</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仿宋" w:cs="宋体"/>
                <w:color w:val="auto"/>
                <w:sz w:val="22"/>
                <w:szCs w:val="22"/>
                <w:lang w:val="en-US" w:eastAsia="zh-CN"/>
              </w:rPr>
            </w:pPr>
            <w:r>
              <w:rPr>
                <w:rFonts w:hint="eastAsia" w:ascii="宋体" w:hAnsi="宋体" w:eastAsia="宋体" w:cs="宋体"/>
                <w:color w:val="auto"/>
                <w:sz w:val="22"/>
                <w:szCs w:val="22"/>
                <w:lang w:val="en-US" w:eastAsia="zh-CN"/>
              </w:rPr>
              <w:t>（3）可检测电池低电量并给出报警提示，低电量报警后至少还可持续 30 分钟工作时间和至少10 次200J除颤充放电。</w:t>
            </w:r>
            <w:r>
              <w:rPr>
                <w:rFonts w:hint="eastAsia"/>
                <w:lang w:eastAsia="zh-CN"/>
              </w:rPr>
              <w:t xml:space="preserve">  </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5、屏幕/操作：</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（1）提供</w:t>
            </w:r>
            <w:r>
              <w:rPr>
                <w:rFonts w:hint="default" w:ascii="宋体" w:hAnsi="宋体" w:eastAsia="宋体" w:cs="宋体"/>
                <w:color w:val="auto"/>
                <w:sz w:val="22"/>
                <w:szCs w:val="22"/>
                <w:lang w:val="en-US" w:eastAsia="zh-CN"/>
              </w:rPr>
              <w:t>≥</w:t>
            </w:r>
            <w:r>
              <w:rPr>
                <w:rFonts w:hint="eastAsia" w:ascii="宋体" w:hAnsi="宋体" w:eastAsia="宋体" w:cs="宋体"/>
                <w:color w:val="auto"/>
                <w:sz w:val="22"/>
                <w:szCs w:val="22"/>
                <w:lang w:val="en-US" w:eastAsia="zh-CN"/>
              </w:rPr>
              <w:t>7 英寸显示屏，支持动画指导用户执行急救操作。彩色显示屏，分辨率</w:t>
            </w:r>
            <w:r>
              <w:rPr>
                <w:rFonts w:hint="default" w:ascii="宋体" w:hAnsi="宋体" w:eastAsia="宋体" w:cs="宋体"/>
                <w:color w:val="auto"/>
                <w:sz w:val="22"/>
                <w:szCs w:val="22"/>
                <w:lang w:val="en-US" w:eastAsia="zh-CN"/>
              </w:rPr>
              <w:t>≥</w:t>
            </w:r>
            <w:r>
              <w:rPr>
                <w:rFonts w:hint="eastAsia" w:ascii="宋体" w:hAnsi="宋体" w:eastAsia="宋体" w:cs="宋体"/>
                <w:color w:val="auto"/>
                <w:sz w:val="22"/>
                <w:szCs w:val="22"/>
                <w:lang w:val="en-US" w:eastAsia="zh-CN"/>
              </w:rPr>
              <w:t>800×480 像素。设备屏幕支持显示ECG波形。设备能够根据环境光强度自动调节屏幕显示亮度，适应野外强光环境下使用。设备能够根据环境噪音强度自动调节语音播放音量，适应急救现场嘈杂环境下使用。提供中英文双语支持，包括界面显示和语音提示，可一键快速切换中英文。</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（2）支持成人/小儿患者类型快速一键切换，可根据病人类型自动切换提示信息、除颤能量和 CPR 按压模式。CPR 按压模式支持配置30:2,15:2和仅按压模式。在 CPR 仅按压过程中持续提供操作指导和剩余按压次数提示。</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6、数据传输和存储：存储容量：设备的内部存储容量不小于1GB，可储存不少于1000份自检报告。具备录音功能，可保存不少于60分钟抢救现场录音。数据存储：可存储 ECG 波形数据、事件数据、   录音数据、急救数据（须有急救时间、CPR 持续时间、放电次数等要素）、录音数据等。支持 USB 接口，可通过外部 USB 闪存设备导出抢救记录数据。</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设备维护与自检：设备具有用户自检和设备自检功能。支持每日、每周、每月、每季度的设备自检。具备设备状态指示灯：根据自检结果，红灯/绿灯显示设备状态。支持设备使用时实时自检和开机自检，检测主控模块、治疗模块、电源模块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pPr>
            <w:r>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t>手术室手术床</w:t>
            </w:r>
          </w:p>
        </w:tc>
        <w:tc>
          <w:tcPr>
            <w:tcW w:w="9006" w:type="dxa"/>
            <w:vAlign w:val="top"/>
          </w:tcPr>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1、配置电动系统和液压系统，具备台面升降、头脚倾、左右倾、背板上下折、解锁锁定功能。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2、台面采用模块化结构，由头板、上背板、下背板、坐板、分体式左右腿板6部分组成，可实现头腿板互换，支持正反方向体位设置。</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3、手术床具备无线</w:t>
            </w:r>
            <w:r>
              <w:rPr>
                <w:rFonts w:hint="eastAsia" w:ascii="宋体" w:hAnsi="宋体" w:eastAsia="宋体" w:cs="宋体"/>
                <w:color w:val="000000" w:themeColor="text1"/>
                <w:sz w:val="22"/>
                <w:szCs w:val="22"/>
                <w:lang w:val="en-US" w:eastAsia="zh-CN"/>
                <w14:textFill>
                  <w14:solidFill>
                    <w14:schemeClr w14:val="tx1"/>
                  </w14:solidFill>
                </w14:textFill>
              </w:rPr>
              <w:t>控制功能，配置角度分色预警功能，实现头脚板、左右倾角度调节分色预警提示。（提供国家认可第三方检测机构出具的检测报告并加盖供应商单位公章）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4、手术床侧轨、立柱护罩、底罩均采用304不锈钢材料，整体通过≥IPX5防水测试。（提供国家认可第三方检测机构出具的检测报告并加盖供应商单位公章）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5、手术床底座采用平整无凹凸一体式无拼接设计，底座厚度≤150mm（提供实物照片证明）。</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6、手术床支持≥30种医用消毒剂。</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7、手术床床垫采用多层复合技术，厚度≥75mm，具有减压功能。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8、手术床最大平移距离</w:t>
            </w:r>
            <w:r>
              <w:rPr>
                <w:rFonts w:hint="eastAsia" w:ascii="宋体" w:hAnsi="宋体" w:eastAsia="宋体" w:cs="宋体"/>
                <w:color w:val="000000" w:themeColor="text1"/>
                <w:sz w:val="22"/>
                <w:szCs w:val="22"/>
                <w:lang w:val="en-US" w:eastAsia="zh-CN"/>
                <w14:textFill>
                  <w14:solidFill>
                    <w14:schemeClr w14:val="tx1"/>
                  </w14:solidFill>
                </w14:textFill>
              </w:rPr>
              <w:t>≥340mm，最大升降距离≥440mm，且最低台面≤600mm。（提供国家认可第三方检测机构出具的检测报告并加盖供应商单位公章）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手术床平移具备双向位移功能：在“0”位状态下，可向头端平移距离≥160mm，最大透视距离≥1007mm；可向腿端平移距离≥190mm，最大透视距离≥1013mm。（提供国家认可第三方检测机构出具的检测报告或公开的产品彩页或产品说明书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10、手术床采用4个万向脚轮结构，采用电动起落架式电动刹车。 </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11、手术床床垫通过防火测试和防静电测试。（提供国家认可第三方检测机构出具的检测报告并加盖供应商单位公章）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12、配置无线遥控器，遥控器具备≥3.5寸彩色显示屏，可一键预设体位：正、反屈曲位，1键0位等，并具备记忆</w:t>
            </w:r>
            <w:r>
              <w:rPr>
                <w:rFonts w:hint="eastAsia" w:ascii="宋体" w:hAnsi="宋体" w:eastAsia="宋体" w:cs="宋体"/>
                <w:color w:val="000000" w:themeColor="text1"/>
                <w:sz w:val="22"/>
                <w:szCs w:val="22"/>
                <w:lang w:val="en-US" w:eastAsia="zh-CN"/>
                <w14:textFill>
                  <w14:solidFill>
                    <w14:schemeClr w14:val="tx1"/>
                  </w14:solidFill>
                </w14:textFill>
              </w:rPr>
              <w:t>体位功能，可存储≥20个体位，并可显示手术床实时动作状态，在头脚倾角度变化时能通过黄、红颜色进行预警提示，在左右倾角度变化时能通过黄色进行预警提示。</w:t>
            </w:r>
            <w:bookmarkStart w:id="2" w:name="OLE_LINK2"/>
            <w:r>
              <w:rPr>
                <w:rFonts w:hint="eastAsia" w:ascii="宋体" w:hAnsi="宋体" w:eastAsia="宋体" w:cs="宋体"/>
                <w:color w:val="000000" w:themeColor="text1"/>
                <w:sz w:val="22"/>
                <w:szCs w:val="22"/>
                <w:lang w:val="en-US" w:eastAsia="zh-CN"/>
                <w14:textFill>
                  <w14:solidFill>
                    <w14:schemeClr w14:val="tx1"/>
                  </w14:solidFill>
                </w14:textFill>
              </w:rPr>
              <w:t>（提供国家认可第三方检测机构出具的检测报告或产品实物图片或产品说明书并加盖供应商单位公章）</w:t>
            </w:r>
            <w:bookmarkEnd w:id="2"/>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13、遥控器具备任意键开机、屏幕亮度调节、按键分区背光提示及自动待机功能，并可显示手术床名称、遥控器电量、手术床电池电量、锁定或解锁状态。</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14、手术床开关、等电位柱及电源接口均有防水盖设计，以保证此三个接口的防水性能。</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15、手术床在底座配置电池电</w:t>
            </w:r>
            <w:r>
              <w:rPr>
                <w:rFonts w:hint="eastAsia" w:ascii="宋体" w:hAnsi="宋体" w:eastAsia="宋体" w:cs="宋体"/>
                <w:color w:val="000000" w:themeColor="text1"/>
                <w:sz w:val="22"/>
                <w:szCs w:val="22"/>
                <w:lang w:val="en-US" w:eastAsia="zh-CN"/>
                <w14:textFill>
                  <w14:solidFill>
                    <w14:schemeClr w14:val="tx1"/>
                  </w14:solidFill>
                </w14:textFill>
              </w:rPr>
              <w:t>量指示灯，≥4级直观显示手术床当前电量。（提供国家认可第三方检测机构出具的检测报告或产品实物图片或产品说明书并加盖供应商单位公章）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16、手术床最大承重≥460kg。（提供国家认可第三方检测机构出具的检测报告或或产品设备铭牌并加盖供应商单位公章）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17、调节范围：前后倾斜≥35°，左右倾斜≥25°，背板：上折≥75°、下折≥35°，腿板：上折≥15°、下折≥90°，头板：上折≥45°、下折≥90°</w:t>
            </w:r>
            <w:r>
              <w:rPr>
                <w:rFonts w:hint="eastAsia" w:ascii="宋体" w:hAnsi="宋体" w:eastAsia="宋体" w:cs="宋体"/>
                <w:color w:val="000000" w:themeColor="text1"/>
                <w:sz w:val="22"/>
                <w:szCs w:val="22"/>
                <w:lang w:val="en-US" w:eastAsia="zh-CN"/>
                <w14:textFill>
                  <w14:solidFill>
                    <w14:schemeClr w14:val="tx1"/>
                  </w14:solidFill>
                </w14:textFill>
              </w:rPr>
              <w:t>（提供国家认可第三方检测机构出具的检测报告或产品实物图片并加盖供应商单位公章）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18、配置负极板回路垫手术设备： </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（1）负极板回路垫正反双面通用。双路负极板回路垫有两个负</w:t>
            </w:r>
            <w:r>
              <w:rPr>
                <w:rFonts w:hint="eastAsia" w:ascii="宋体" w:hAnsi="宋体" w:eastAsia="宋体" w:cs="宋体"/>
                <w:color w:val="000000" w:themeColor="text1"/>
                <w:sz w:val="22"/>
                <w:szCs w:val="22"/>
                <w:lang w:val="en-US" w:eastAsia="zh-CN"/>
                <w14:textFill>
                  <w14:solidFill>
                    <w14:schemeClr w14:val="tx1"/>
                  </w14:solidFill>
                </w14:textFill>
              </w:rPr>
              <w:t>极回路接口，可同时连接两台高频电刀主机同时使用。（提供产品说明书并加盖供应商单位公章</w:t>
            </w:r>
            <w:r>
              <w:rPr>
                <w:rFonts w:hint="eastAsia" w:ascii="宋体" w:hAnsi="宋体" w:eastAsia="宋体" w:cs="宋体"/>
                <w:color w:val="0000FF"/>
                <w:sz w:val="22"/>
                <w:szCs w:val="22"/>
                <w:lang w:val="en-US" w:eastAsia="zh-CN"/>
              </w:rPr>
              <w:t>）</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（2）负极板回路垫主体原料由高分子凝胶制成，耐侯温</w:t>
            </w:r>
            <w:r>
              <w:rPr>
                <w:rFonts w:hint="eastAsia" w:ascii="宋体" w:hAnsi="宋体" w:eastAsia="宋体" w:cs="宋体"/>
                <w:color w:val="000000" w:themeColor="text1"/>
                <w:sz w:val="22"/>
                <w:szCs w:val="22"/>
                <w:lang w:val="en-US" w:eastAsia="zh-CN"/>
                <w14:textFill>
                  <w14:solidFill>
                    <w14:schemeClr w14:val="tx1"/>
                  </w14:solidFill>
                </w14:textFill>
              </w:rPr>
              <w:t>度可达100°C，提供材料耐侯检测报告（提供国家认可第三方检测机构出具的检测报告并加盖供应商单位公章）。具有</w:t>
            </w:r>
            <w:r>
              <w:rPr>
                <w:rFonts w:hint="eastAsia" w:ascii="宋体" w:hAnsi="宋体" w:eastAsia="宋体" w:cs="宋体"/>
                <w:color w:val="auto"/>
                <w:sz w:val="22"/>
                <w:szCs w:val="22"/>
                <w:lang w:val="en-US" w:eastAsia="zh-CN"/>
              </w:rPr>
              <w:t>良好的弹性和生物相容性，可有效防止压</w:t>
            </w:r>
            <w:r>
              <w:rPr>
                <w:rFonts w:hint="eastAsia" w:ascii="宋体" w:hAnsi="宋体" w:eastAsia="宋体" w:cs="宋体"/>
                <w:color w:val="000000" w:themeColor="text1"/>
                <w:sz w:val="22"/>
                <w:szCs w:val="22"/>
                <w:lang w:val="en-US" w:eastAsia="zh-CN"/>
                <w14:textFill>
                  <w14:solidFill>
                    <w14:schemeClr w14:val="tx1"/>
                  </w14:solidFill>
                </w14:textFill>
              </w:rPr>
              <w:t>疮的形成。</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（3）单品可成人儿童通用，体重0.35kg以上的患者均可使用，无需区分成人，儿童型号(提供产品说明书并加盖供应商单位公章)。</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w:t>
            </w:r>
            <w:r>
              <w:rPr>
                <w:rFonts w:hint="default" w:ascii="宋体" w:hAnsi="宋体" w:eastAsia="宋体" w:cs="宋体"/>
                <w:color w:val="000000" w:themeColor="text1"/>
                <w:kern w:val="0"/>
                <w:szCs w:val="21"/>
                <w:lang w:val="en-US" w:eastAsia="zh-CN"/>
                <w14:textFill>
                  <w14:solidFill>
                    <w14:schemeClr w14:val="tx1"/>
                  </w14:solidFill>
                </w14:textFill>
              </w:rPr>
              <w:t>提供负极板回路垫产品与人体皮肤刺激实验/人体皮肤致敏实验/人体细胞毒性实验第三方检测报告（</w:t>
            </w:r>
            <w:r>
              <w:rPr>
                <w:rFonts w:hint="eastAsia" w:ascii="宋体" w:hAnsi="宋体" w:eastAsia="宋体" w:cs="宋体"/>
                <w:color w:val="000000" w:themeColor="text1"/>
                <w:sz w:val="22"/>
                <w:szCs w:val="22"/>
                <w:lang w:val="en-US" w:eastAsia="zh-CN"/>
                <w14:textFill>
                  <w14:solidFill>
                    <w14:schemeClr w14:val="tx1"/>
                  </w14:solidFill>
                </w14:textFill>
              </w:rPr>
              <w:t>提供国家认可第三方检测机构出具的检测报告并加盖供应商单位公章</w:t>
            </w:r>
            <w:r>
              <w:rPr>
                <w:rFonts w:hint="default" w:ascii="宋体" w:hAnsi="宋体" w:eastAsia="宋体" w:cs="宋体"/>
                <w:color w:val="000000" w:themeColor="text1"/>
                <w:kern w:val="0"/>
                <w:szCs w:val="21"/>
                <w:lang w:val="en-US"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w:t>
            </w:r>
            <w:r>
              <w:rPr>
                <w:rFonts w:hint="default" w:ascii="宋体" w:hAnsi="宋体" w:eastAsia="宋体" w:cs="宋体"/>
                <w:color w:val="000000" w:themeColor="text1"/>
                <w:kern w:val="0"/>
                <w:szCs w:val="21"/>
                <w:lang w:val="en-US" w:eastAsia="zh-CN"/>
                <w14:textFill>
                  <w14:solidFill>
                    <w14:schemeClr w14:val="tx1"/>
                  </w14:solidFill>
                </w14:textFill>
              </w:rPr>
              <w:t>提供ROHS环保检测报告（</w:t>
            </w:r>
            <w:r>
              <w:rPr>
                <w:rFonts w:hint="eastAsia" w:ascii="宋体" w:hAnsi="宋体" w:eastAsia="宋体" w:cs="宋体"/>
                <w:color w:val="000000" w:themeColor="text1"/>
                <w:sz w:val="22"/>
                <w:szCs w:val="22"/>
                <w:lang w:val="en-US" w:eastAsia="zh-CN"/>
                <w14:textFill>
                  <w14:solidFill>
                    <w14:schemeClr w14:val="tx1"/>
                  </w14:solidFill>
                </w14:textFill>
              </w:rPr>
              <w:t>提供国家认可第三方检测机构出具的检测报告并加盖供应商单位公章</w:t>
            </w:r>
            <w:r>
              <w:rPr>
                <w:rFonts w:hint="default" w:ascii="宋体" w:hAnsi="宋体" w:eastAsia="宋体" w:cs="宋体"/>
                <w:color w:val="000000" w:themeColor="text1"/>
                <w:kern w:val="0"/>
                <w:szCs w:val="2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default" w:ascii="宋体" w:hAnsi="宋体" w:eastAsia="宋体" w:cs="宋体"/>
                <w:color w:val="000000" w:themeColor="text1"/>
                <w:kern w:val="0"/>
                <w:szCs w:val="21"/>
                <w:lang w:val="en-US" w:eastAsia="zh-CN"/>
                <w14:textFill>
                  <w14:solidFill>
                    <w14:schemeClr w14:val="tx1"/>
                  </w14:solidFill>
                </w14:textFill>
              </w:rPr>
              <w:t>提供回路垫对应FDA/CE证书</w:t>
            </w:r>
            <w:r>
              <w:rPr>
                <w:rFonts w:hint="eastAsia" w:ascii="宋体" w:hAnsi="宋体" w:eastAsia="宋体" w:cs="宋体"/>
                <w:color w:val="000000" w:themeColor="text1"/>
                <w:kern w:val="0"/>
                <w:szCs w:val="21"/>
                <w:lang w:val="en-US" w:eastAsia="zh-CN"/>
                <w14:textFill>
                  <w14:solidFill>
                    <w14:schemeClr w14:val="tx1"/>
                  </w14:solidFill>
                </w14:textFill>
              </w:rPr>
              <w:t>（提供证书复印件</w:t>
            </w:r>
            <w:r>
              <w:rPr>
                <w:rFonts w:hint="eastAsia" w:ascii="宋体" w:hAnsi="宋体" w:eastAsia="宋体" w:cs="宋体"/>
                <w:color w:val="000000" w:themeColor="text1"/>
                <w:sz w:val="22"/>
                <w:szCs w:val="22"/>
                <w:lang w:val="en-US" w:eastAsia="zh-CN"/>
                <w14:textFill>
                  <w14:solidFill>
                    <w14:schemeClr w14:val="tx1"/>
                  </w14:solidFill>
                </w14:textFill>
              </w:rPr>
              <w:t>并加盖供应商单位公章</w:t>
            </w:r>
            <w:r>
              <w:rPr>
                <w:rFonts w:hint="eastAsia" w:ascii="宋体" w:hAnsi="宋体" w:eastAsia="宋体" w:cs="宋体"/>
                <w:color w:val="000000" w:themeColor="text1"/>
                <w:kern w:val="0"/>
                <w:szCs w:val="21"/>
                <w:lang w:val="en-US" w:eastAsia="zh-CN"/>
                <w14:textFill>
                  <w14:solidFill>
                    <w14:schemeClr w14:val="tx1"/>
                  </w14:solidFill>
                </w14:textFill>
              </w:rPr>
              <w:t>）</w:t>
            </w:r>
            <w:r>
              <w:rPr>
                <w:rFonts w:hint="default" w:ascii="宋体" w:hAnsi="宋体" w:eastAsia="宋体" w:cs="宋体"/>
                <w:color w:val="000000" w:themeColor="text1"/>
                <w:kern w:val="0"/>
                <w:szCs w:val="21"/>
                <w:lang w:val="en-US" w:eastAsia="zh-CN"/>
                <w14:textFill>
                  <w14:solidFill>
                    <w14:schemeClr w14:val="tx1"/>
                  </w14:solidFill>
                </w14:textFill>
              </w:rPr>
              <w:t>。</w:t>
            </w:r>
          </w:p>
          <w:p>
            <w:pPr>
              <w:pStyle w:val="4"/>
              <w:keepNext w:val="0"/>
              <w:keepLines w:val="0"/>
              <w:pageBreakBefore w:val="0"/>
              <w:widowControl w:val="0"/>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★19、基本配置：</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（1）</w:t>
            </w:r>
            <w:r>
              <w:rPr>
                <w:rFonts w:hint="eastAsia" w:ascii="宋体" w:hAnsi="宋体" w:eastAsia="宋体" w:cs="宋体"/>
                <w:color w:val="auto"/>
                <w:sz w:val="22"/>
                <w:szCs w:val="22"/>
                <w:lang w:val="en-US" w:eastAsia="zh-CN"/>
              </w:rPr>
              <w:t>电动手术床主床。</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（2）</w:t>
            </w:r>
            <w:r>
              <w:rPr>
                <w:rFonts w:hint="eastAsia" w:ascii="宋体" w:hAnsi="宋体" w:eastAsia="宋体" w:cs="宋体"/>
                <w:color w:val="auto"/>
                <w:sz w:val="22"/>
                <w:szCs w:val="22"/>
                <w:lang w:val="en-US" w:eastAsia="zh-CN"/>
              </w:rPr>
              <w:t>配记忆海绵床垫。</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（3）</w:t>
            </w:r>
            <w:r>
              <w:rPr>
                <w:rFonts w:hint="eastAsia" w:ascii="宋体" w:hAnsi="宋体" w:eastAsia="宋体" w:cs="宋体"/>
                <w:color w:val="auto"/>
                <w:sz w:val="22"/>
                <w:szCs w:val="22"/>
                <w:lang w:val="en-US" w:eastAsia="zh-CN"/>
              </w:rPr>
              <w:t>头板。</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（4）</w:t>
            </w:r>
            <w:r>
              <w:rPr>
                <w:rFonts w:hint="eastAsia" w:ascii="宋体" w:hAnsi="宋体" w:eastAsia="宋体" w:cs="宋体"/>
                <w:color w:val="auto"/>
                <w:sz w:val="22"/>
                <w:szCs w:val="22"/>
                <w:lang w:val="en-US" w:eastAsia="zh-CN"/>
              </w:rPr>
              <w:t>上背板。</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（5）</w:t>
            </w:r>
            <w:r>
              <w:rPr>
                <w:rFonts w:hint="eastAsia" w:ascii="宋体" w:hAnsi="宋体" w:eastAsia="宋体" w:cs="宋体"/>
                <w:color w:val="auto"/>
                <w:sz w:val="22"/>
                <w:szCs w:val="22"/>
                <w:lang w:val="en-US" w:eastAsia="zh-CN"/>
              </w:rPr>
              <w:t>主机（包含下背板，坐板）。</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（6）</w:t>
            </w:r>
            <w:r>
              <w:rPr>
                <w:rFonts w:hint="eastAsia" w:ascii="宋体" w:hAnsi="宋体" w:eastAsia="宋体" w:cs="宋体"/>
                <w:color w:val="auto"/>
                <w:sz w:val="22"/>
                <w:szCs w:val="22"/>
                <w:lang w:val="en-US" w:eastAsia="zh-CN"/>
              </w:rPr>
              <w:t>分体式腿板。</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（7）</w:t>
            </w:r>
            <w:r>
              <w:rPr>
                <w:rFonts w:hint="eastAsia" w:ascii="宋体" w:hAnsi="宋体" w:eastAsia="宋体" w:cs="宋体"/>
                <w:color w:val="auto"/>
                <w:sz w:val="22"/>
                <w:szCs w:val="22"/>
                <w:lang w:val="en-US" w:eastAsia="zh-CN"/>
              </w:rPr>
              <w:t>备用面板。</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（8）</w:t>
            </w:r>
            <w:r>
              <w:rPr>
                <w:rFonts w:hint="eastAsia" w:ascii="宋体" w:hAnsi="宋体" w:eastAsia="宋体" w:cs="宋体"/>
                <w:color w:val="auto"/>
                <w:sz w:val="22"/>
                <w:szCs w:val="22"/>
                <w:lang w:val="en-US" w:eastAsia="zh-CN"/>
              </w:rPr>
              <w:t>手持控制器。</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（9）</w:t>
            </w:r>
            <w:r>
              <w:rPr>
                <w:rFonts w:hint="eastAsia" w:ascii="宋体" w:hAnsi="宋体" w:eastAsia="宋体" w:cs="宋体"/>
                <w:color w:val="auto"/>
                <w:sz w:val="22"/>
                <w:szCs w:val="22"/>
                <w:lang w:val="en-US" w:eastAsia="zh-CN"/>
              </w:rPr>
              <w:t>托手架一对（含夹持器）。</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（10）</w:t>
            </w:r>
            <w:r>
              <w:rPr>
                <w:rFonts w:hint="eastAsia" w:ascii="宋体" w:hAnsi="宋体" w:eastAsia="宋体" w:cs="宋体"/>
                <w:color w:val="auto"/>
                <w:sz w:val="22"/>
                <w:szCs w:val="22"/>
                <w:lang w:val="en-US" w:eastAsia="zh-CN"/>
              </w:rPr>
              <w:t>麻醉屏架（含夹持器）。</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（11）</w:t>
            </w:r>
            <w:r>
              <w:rPr>
                <w:rFonts w:hint="eastAsia" w:ascii="宋体" w:hAnsi="宋体" w:eastAsia="宋体" w:cs="宋体"/>
                <w:color w:val="auto"/>
                <w:sz w:val="22"/>
                <w:szCs w:val="22"/>
                <w:lang w:val="en-US" w:eastAsia="zh-CN"/>
              </w:rPr>
              <w:t>负极板回路垫。</w:t>
            </w:r>
          </w:p>
          <w:p>
            <w:pPr>
              <w:pStyle w:val="4"/>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0" w:firstLine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bidi="zh-CN"/>
              </w:rPr>
              <w:t>（12）</w:t>
            </w:r>
            <w:r>
              <w:rPr>
                <w:rFonts w:hint="eastAsia" w:ascii="宋体" w:hAnsi="宋体" w:eastAsia="宋体" w:cs="宋体"/>
                <w:color w:val="auto"/>
                <w:sz w:val="22"/>
                <w:szCs w:val="22"/>
                <w:lang w:val="en-US" w:eastAsia="zh-CN"/>
              </w:rPr>
              <w:t>碳钎维延长板。</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≥5</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范围：整机含所有部件（质保期内涉及维修、产品更换、人工费用等一切费用包含在此次报价中）。</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质保期后若采购人采购本项目的维保，其每年的维保费用不超过合同成交价的3%。</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bookmarkStart w:id="3" w:name="_GoBack"/>
      <w:bookmarkEnd w:id="3"/>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N2RmNzY2ZTg4MzBmZDgwMWFkYTI0MWYzYmNmYTQ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6128"/>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0DFF"/>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15336"/>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40519"/>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715477"/>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B6E4B5"/>
    <w:rsid w:val="2DCC6768"/>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6A4B2F"/>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BA7F1E"/>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9C13E8"/>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7E0A16"/>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DD640"/>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BD6FE9"/>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76408"/>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32D32"/>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8F154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2D3CE7"/>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EB3A10"/>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5FFF3A9A"/>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440C1"/>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22AB2"/>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7D657E"/>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6E381E"/>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DCF38B9"/>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5B46DF"/>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94316"/>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3FD98AF"/>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6F61BE"/>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BDF55D2"/>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DFF854"/>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D23B3D"/>
    <w:rsid w:val="7FE26D2A"/>
    <w:rsid w:val="7FE3F543"/>
    <w:rsid w:val="7FEB04BD"/>
    <w:rsid w:val="7FF86BAD"/>
    <w:rsid w:val="852B21E6"/>
    <w:rsid w:val="A49BD137"/>
    <w:rsid w:val="AF6EB41C"/>
    <w:rsid w:val="B6A7252C"/>
    <w:rsid w:val="BB3BED65"/>
    <w:rsid w:val="BF959D53"/>
    <w:rsid w:val="DFF7D2E1"/>
    <w:rsid w:val="E7FD0B31"/>
    <w:rsid w:val="E7FD703D"/>
    <w:rsid w:val="EFBF236C"/>
    <w:rsid w:val="F597B21D"/>
    <w:rsid w:val="F5B2FF91"/>
    <w:rsid w:val="F5F96B69"/>
    <w:rsid w:val="F7FD226C"/>
    <w:rsid w:val="F7FF3861"/>
    <w:rsid w:val="FB4B5452"/>
    <w:rsid w:val="FC7D8B27"/>
    <w:rsid w:val="FF4B1719"/>
    <w:rsid w:val="FF6F0E58"/>
    <w:rsid w:val="FF7D3BC4"/>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19</Pages>
  <Words>10958</Words>
  <Characters>11477</Characters>
  <Lines>34</Lines>
  <Paragraphs>9</Paragraphs>
  <TotalTime>3</TotalTime>
  <ScaleCrop>false</ScaleCrop>
  <LinksUpToDate>false</LinksUpToDate>
  <CharactersWithSpaces>11834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2023-04-16T11:33:00Z</dcterms:created>
  <dc:creator>后勤中心</dc:creator>
  <cp:lastModifiedBy>苏仁杰</cp:lastModifiedBy>
  <cp:lastPrinted>2025-06-05T20:01:00Z</cp:lastPrinted>
  <dcterms:modified xsi:type="dcterms:W3CDTF">2025-09-08T08:55:54Z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95B1ACF60F667EF31E22B168793839E8_43</vt:lpwstr>
  </property>
  <property fmtid="{D5CDD505-2E9C-101B-9397-08002B2CF9AE}" pid="7" name="KSOTemplateDocerSaveRecord">
    <vt:lpwstr>eyJoZGlkIjoiOTE0MDNjYjEyZDJmODk5YWYxYjc0MzA2ZDQ5ZDBjMTgiLCJ1c2VySWQiOiI1NDI5MjI1OTEifQ==</vt:lpwstr>
  </property>
</Properties>
</file>