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42" w:type="dxa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边台、中央台、转角台</w:t>
            </w:r>
          </w:p>
        </w:tc>
        <w:tc>
          <w:tcPr>
            <w:tcW w:w="8488" w:type="dxa"/>
            <w:vAlign w:val="top"/>
          </w:tcPr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1、台面：采用12.7mm厚双面膜黑色实芯理化板台面，台面边缘用同质材料板双层加厚至25.4mm。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具体性能要求如下：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2、通过硫酸（98%）、磷酸（85%）、氢氟酸（48%）、乙基苯、异丁醇等不少于140项酸、碱及其它化学试剂的检验结果为5级：无明显变化。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3、重金属检测参照 GB 18584-2001《室内装饰装修材料木家具中有害物质限量》标准，满足 4 种重金属含量 mg/kg（可溶性铅≤0.3、镉：未检出、铬≤0.7、汞：未检出）。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4、甲醛释放量按照GB/T 39600-2021《人造板及其制品甲醛释放量分级》标准检测，满足E0级技术要求，检验结果为≤0.005mg/m³；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5、台面板依据GB/T 17657-2022标准及其他相关标准方法检测，结果为：静曲强度≥145Mpa；弹性模量≥10450Mpa；含水率：≤1.3%；24h吸水率≤0.2%；密度≥1.43g/cm3；耐臭氧（72h）：外观无明显变化；尺寸稳定性：纵向与横向≤0.03%；漆膜附着力：六级：切割边缘完全平滑，网格内无脱落；漆膜硬度＞9H；表面耐划痕性能：4.5N作用下，试件表面无大于90%的连续划痕；表面耐龟裂性能：5级：表面无裂纹；耐高温性能：表面无裂纹；表面耐耐干热性能：5级：无明显变化；表面耐湿热性能：5级：无明显变化；耐沸水性能：质量增加百分率≤0.01%、厚度增加百分率≤0.06%，表面质量等级：5级：无变化，边缘质量等级：5级：无明显变化；表面耐冷热循环：表面无裂纹及鼓泡；抗冲击性能（冲击高度1m）：4.7-5.1mm；表面耐磨性能≥1150r，未出现磨损；弯曲强度≥140Mpa；弯曲弹性模量≥8330Mpa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6、依据《建筑材料放射性核素限量》GB 6566-2010标准进行检测，放射性核素限量≤0.1。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7、防霉性能：霉菌生长情况0级，抗菌性：不少于15种的菌种检测结果抗菌率&gt;99.99%。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8、燃烧性能项目检测符合GB 8624-2012标准，达到B1（C-s1,d0,t1）级，烟气毒性等级为ZA3级；检测依据GB/T 2408-2021标准水平燃烧符合HB级、垂直燃符合V-0级。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（响应人应针对以上台面技术参数要求(1-8条)，提供国家认可的第三方检测机构出具的带有CMA或CNAS章的检测报告。加盖响应人公章）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9、柜体：上抽下柜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10、箱体侧板、上顶板、隔板、底板：采用1.0mm厚电解钢板，通过冲压折弯工艺加工生产，表层环氧树脂粉沫喷涂。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11、抽屉侧板、底板：采用1.0mm电解钢板压弯加工制作，表层环氧树脂粉沫喷涂。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12、拉手：采用1.0mm电解钢板压弯加工制作，表层环氧树脂粉沫喷涂，横向一字型暗拉手。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13、铰链：采用DTC开启闭合弧度175度，铰链表面经酸洗、磷化、环氧树脂粉末静电喷涂，耐腐蚀，开闭自如。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14、导轨：采用DTC三段式阻尼静音滑轨，承重性能好、喷涂环氧树脂粉末涂料，耐酸碱，经久耐用。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15、活页：阻尼合页，采用SUS 304制作，厚≥2.2mm，高≥70mm，轴厚≥6mm，活页旋转角度≥270°，柜门与柜体垂直开启角度≥180°。柜门高度小于900mm的柜门用两个折页固定，柜门高度大于900mm的由三个活页固定。柜门承重负荷≥95kg，防酸碱，耐腐蚀，方便存储物品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16、踢脚：底面不留缝,踢脚直接到底。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三联水龙头</w:t>
            </w:r>
          </w:p>
        </w:tc>
        <w:tc>
          <w:tcPr>
            <w:tcW w:w="8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1、三联单冷龙头选用H63黄铜管，使用红冲锻造工艺，不出现沙眼；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2、涂层经哑光环氧树脂粉末涂料热固处理，防紫外线辐射，耐化学腐蚀；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3、陶瓷阀芯可90度旋转、耐磨、耐腐蚀，开关使用寿命测试可达60万次，静态最大耐压2.5MPa，鹅颈出水管可360度旋转；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4、旋钮把手为PP全新料无添加碳酸钙；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5、供水软管：长度1.5米，软性PVC管外覆不锈钢网，外层包裹PE管，有效防止生锈、渗漏。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6、耐污染性能：依据GB/T 17657-2022标准，检测项目包含二甲基亚砜、二乙二醇单丁醚、甘油三硬脂酸酯、黑色素（醇溶）、环丙基甲基酮、甲基叔丁基醚、甲酰胺、48%氢溴酸、50%氟硼酸、氢氧化铵、冰醋酸、丙酮、碘、单宁酸等154种有机、无机试剂，检验结果为5级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7、抗菌性：依据JC/T 897-2014标准，要求≥14种细菌的检测，检测值≥99.99%（菌种包括金黄色葡萄球菌，大肠埃希氏菌，粘滞沙雷氏菌、鼠伤寒沙门氏菌）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8、铜含量：依据YS/T 910-2013标准，铜含量≥63%。（提供国家认可的第三方检测机构出具的带有CMA或CNAS章的检测报告。加盖响应人公章）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9、中性盐雾试验：依据GB/T 10125-2021标准，进行盐雾试验后，试样涂层划道处无腐蚀。（提供国家认可的第三方检测机构出具的带有CMA或CNAS章的检测报告。加盖响应人公章）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10、可迁移元素：依据GB/T 6675.4-2014标准，硒、汞、铬、镉、砷、锑均未检出。（提供国家认可的第三方检测机构出具的带有CMA或CNAS章的检测报告。加盖响应人公章）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水槽</w:t>
            </w:r>
          </w:p>
        </w:tc>
        <w:tc>
          <w:tcPr>
            <w:tcW w:w="8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1、水槽采用全新PP料及进口色母料，无碳酸钙成分，一体成型；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2、下水口与水槽一体注塑成型，水槽内壁无缩印，四边平整，表面光滑顺畅，不有划伤、裂纹、气泡、爆边等明显缺陷，配备下水软管。水槽壁厚≤5mm；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3、为防止水槽中间或四周有积液，槽体底部有导流线。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4、抗菌性：依据JC/T 897-2014标准，要求≥14种细菌的检测，检测值≥99.99%（菌种包括金黄色葡萄球菌，大肠埃希氏菌，粪肠球菌、宋氏志贺氏菌）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5、抗老化测试：参照ISO 4892-3：2016标准，光照辐射度≥0.76，黑板温度≥60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softHyphen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°C，色差△E*≤0.18，变色等级0级，外观无可视变化，无变色。（提供国家认可的第三方检测机构出具的带有CMA或CNAS章的检测报告。加盖响应人公章）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6、密度测试：依据GB/T 1033.1-2008方法A标准，采用蒸馏水浸渍法，浸渍液密度0.99752g/cm3，检测结果平均值≥0.9042g/cm3。（提供国家认可的第三方检测机构出具的带有CMA或CNAS章的检测报告。加盖响应人公章）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传递窗</w:t>
            </w:r>
          </w:p>
        </w:tc>
        <w:tc>
          <w:tcPr>
            <w:tcW w:w="8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1、材质：纯SUS304不锈钢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2、结构：一头带紫外线消毒灯；传递窗门手动开关，机械互锁。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洗眼器</w:t>
            </w:r>
          </w:p>
        </w:tc>
        <w:tc>
          <w:tcPr>
            <w:tcW w:w="8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1、主体：加厚铜质H59-1；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2、洗眼喷头：加厚铜质环氧树脂涂层外加软性橡胶，出水经缓压处理呈泡沫状水柱，防止冲伤眼睛；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3、莲蓬头护罩：Φ70橡胶质护杯，以避免紧急使用时瞬间接触眼部造成碰撞二次伤害；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4、防尘盖：PP材质，平常可防尘，使用时可随时被水冲开，并降低突然时短暂的高水压，防止冲伤眼睛，防尘盖有连接于护罩可防尘脱落。使用时自动被水冲开；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5、水流锁定开关：水流开启，水流锁定功能一次完成，方便使用；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6、前置过滤器：配有小型前置过滤器主要的去除管道所产生的沉淀杂质和细菌、微生物残骸、铁锈、沙泥等大于5微米以上的颗粒杂质，避免眼睛及人体肌肤受到伤害；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7、供水软管：长度1.5米，软性PVC管外覆不锈钢网，外层包裹PE管，有效防止生锈、渗漏。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8、洗眼量：＞6L/min。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9、在测试压力0.20MPa下，测试时间3min/次，提供冲洗液流量：6.9L/min，能保持洗眼时间：15min；（提供国家认可的第三方检测机构出具的带有CMA或CNAS章的检测报告。加盖响应人公章）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10、阀门在1s的时间内能完全打开。阀门一经打开，除使用者有意关闭的情况之外，能始终保持开启状态；（提供国家认可的第三方检测机构出具的带有CMA或CNAS章的检测报告。加盖响应人公章）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11、喷头位于距离使用者站立的水平面的高度距离可调（838mm～1143mm），距离墙壁或最近的障碍物距离可调（≥153mm）；（提供国家认可的第三方检测机构出具的带有CMA或CNAS章的检测报告。加盖响应人公章）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12、耐污染性能：依据GB/T 17657-2022标准，检测项目包含聚乙烯醇、抗坏血酸、连二亚硫酸钠、邻二甲苯、硫脲、六亚甲基四胺、柠檬酸钠（二水合物）、碘酸钾、次氯酸钠、二硫化碳、甘油、高碘酸钾、酚酞、二氯甲烷等154种有机、无机试剂，检验结果为5级。（提供国家认可的第三方检测机构出具的带有CMA或CNAS章的检测报告。加盖响应人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13、铜含量：依据YS/T 910-2013标准，铜含量≥60.85%。（提供国家认可的第三方检测机构出具的带有CMA或CNAS章的检测报告。加盖响应人公章）</w:t>
            </w:r>
          </w:p>
        </w:tc>
      </w:tr>
    </w:tbl>
    <w:p>
      <w:pPr>
        <w:autoSpaceDE w:val="0"/>
        <w:autoSpaceDN w:val="0"/>
        <w:snapToGrid w:val="0"/>
        <w:ind w:firstLine="400" w:firstLineChars="200"/>
        <w:rPr>
          <w:rFonts w:hint="default" w:eastAsia="宋体"/>
          <w:color w:val="000000" w:themeColor="text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  <w:t>为实质性参数。</w:t>
      </w: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495A89"/>
    <w:rsid w:val="07696EF2"/>
    <w:rsid w:val="077572B4"/>
    <w:rsid w:val="077A3CEC"/>
    <w:rsid w:val="0783362A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6E5BE3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9B6F37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D04E93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394248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5639D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8B7593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595417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00568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71E45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55A70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41961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F6225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3D5340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561A5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BF4D61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87FCC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81631A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4D72D5"/>
    <w:rsid w:val="42535D7E"/>
    <w:rsid w:val="42750914"/>
    <w:rsid w:val="42843695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6F5BF8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609AF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27D99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91474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03B47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01675"/>
    <w:rsid w:val="5635422B"/>
    <w:rsid w:val="565371AF"/>
    <w:rsid w:val="56633896"/>
    <w:rsid w:val="56797801"/>
    <w:rsid w:val="567B2FF2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5F0ED2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9F27A5"/>
    <w:rsid w:val="5DA943A9"/>
    <w:rsid w:val="5DAD36A2"/>
    <w:rsid w:val="5DB6074F"/>
    <w:rsid w:val="5DD067F8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57D43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9B7BE3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976E2D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10DB8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0670B"/>
    <w:rsid w:val="6B6F193F"/>
    <w:rsid w:val="6B796A60"/>
    <w:rsid w:val="6B82199A"/>
    <w:rsid w:val="6BA42AD5"/>
    <w:rsid w:val="6BA442DD"/>
    <w:rsid w:val="6BAA566B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6B2DFF"/>
    <w:rsid w:val="707A560C"/>
    <w:rsid w:val="70952446"/>
    <w:rsid w:val="709A3F00"/>
    <w:rsid w:val="709C1A26"/>
    <w:rsid w:val="709E31F4"/>
    <w:rsid w:val="70A17AE5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4C3DA8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C3315E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977546"/>
    <w:rsid w:val="7CA61D52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黑体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1"/>
    <w:qFormat/>
    <w:uiPriority w:val="1"/>
    <w:rPr>
      <w:sz w:val="28"/>
      <w:szCs w:val="28"/>
    </w:rPr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0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2025-03-20T08:17:00Z</cp:lastPrinted>
  <dcterms:modified xsi:type="dcterms:W3CDTF">2025-05-19T09:33:51Z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