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02" w:rsidRDefault="008F0302" w:rsidP="008F0302">
      <w:pPr>
        <w:rPr>
          <w:rFonts w:ascii="黑体" w:eastAsia="黑体" w:hAnsi="黑体" w:cs="黑体"/>
          <w:color w:val="000000"/>
          <w:spacing w:val="-20"/>
          <w:kern w:val="8"/>
          <w:sz w:val="28"/>
          <w:szCs w:val="28"/>
        </w:rPr>
      </w:pPr>
      <w:bookmarkStart w:id="0" w:name="_Hlt101233737"/>
      <w:bookmarkStart w:id="1" w:name="_Hlt101843627"/>
      <w:bookmarkEnd w:id="0"/>
      <w:bookmarkEnd w:id="1"/>
      <w:r>
        <w:rPr>
          <w:rFonts w:ascii="黑体" w:eastAsia="黑体" w:hAnsi="黑体" w:cs="黑体" w:hint="eastAsia"/>
          <w:color w:val="000000"/>
          <w:spacing w:val="-20"/>
          <w:kern w:val="8"/>
          <w:sz w:val="28"/>
          <w:szCs w:val="28"/>
        </w:rPr>
        <w:t>服务内容及技术要求：</w:t>
      </w:r>
    </w:p>
    <w:tbl>
      <w:tblPr>
        <w:tblStyle w:val="a6"/>
        <w:tblpPr w:leftFromText="180" w:rightFromText="180" w:horzAnchor="margin" w:tblpY="870"/>
        <w:tblW w:w="8613" w:type="dxa"/>
        <w:tblLayout w:type="fixed"/>
        <w:tblLook w:val="04A0"/>
      </w:tblPr>
      <w:tblGrid>
        <w:gridCol w:w="1375"/>
        <w:gridCol w:w="7238"/>
      </w:tblGrid>
      <w:tr w:rsidR="008F0302" w:rsidTr="008F0302">
        <w:trPr>
          <w:trHeight w:val="341"/>
        </w:trPr>
        <w:tc>
          <w:tcPr>
            <w:tcW w:w="1375" w:type="dxa"/>
          </w:tcPr>
          <w:p w:rsidR="008F0302" w:rsidRDefault="008F0302" w:rsidP="008F0302">
            <w:pPr>
              <w:pStyle w:val="1"/>
              <w:spacing w:line="360" w:lineRule="auto"/>
              <w:ind w:left="0" w:firstLine="0"/>
              <w:jc w:val="center"/>
              <w:rPr>
                <w:rFonts w:ascii="宋体" w:eastAsia="宋体" w:hAnsi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  <w:lang w:val="en-US"/>
              </w:rPr>
              <w:t>设备名称</w:t>
            </w:r>
          </w:p>
        </w:tc>
        <w:tc>
          <w:tcPr>
            <w:tcW w:w="7238" w:type="dxa"/>
          </w:tcPr>
          <w:p w:rsidR="008F0302" w:rsidRDefault="008F0302" w:rsidP="008F0302">
            <w:pPr>
              <w:spacing w:line="360" w:lineRule="auto"/>
              <w:ind w:firstLineChars="200" w:firstLine="400"/>
              <w:jc w:val="center"/>
              <w:rPr>
                <w:rFonts w:ascii="宋体" w:hAnsi="宋体" w:cs="宋体"/>
                <w:color w:val="000000" w:themeColor="text1"/>
                <w:spacing w:val="-20"/>
                <w:kern w:val="8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20"/>
                <w:kern w:val="8"/>
                <w:sz w:val="24"/>
                <w:szCs w:val="24"/>
              </w:rPr>
              <w:t>技术参数要求</w:t>
            </w:r>
          </w:p>
        </w:tc>
      </w:tr>
      <w:tr w:rsidR="008F0302" w:rsidTr="008F0302">
        <w:trPr>
          <w:trHeight w:val="93"/>
        </w:trPr>
        <w:tc>
          <w:tcPr>
            <w:tcW w:w="1375" w:type="dxa"/>
            <w:vAlign w:val="center"/>
          </w:tcPr>
          <w:p w:rsidR="008F0302" w:rsidRDefault="008F0302" w:rsidP="008F0302">
            <w:pPr>
              <w:pStyle w:val="a5"/>
              <w:autoSpaceDE/>
              <w:autoSpaceDN/>
              <w:spacing w:before="0" w:beforeAutospacing="0" w:after="0" w:afterAutospacing="0" w:line="36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lang w:val="en-US"/>
              </w:rPr>
              <w:t>CT电子密度模体</w:t>
            </w:r>
          </w:p>
        </w:tc>
        <w:tc>
          <w:tcPr>
            <w:tcW w:w="7238" w:type="dxa"/>
          </w:tcPr>
          <w:p w:rsidR="008F0302" w:rsidRDefault="008F0302" w:rsidP="008F0302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1、CT值与组织电子密度关联：可准确地将CT值转换为HU值或电子密度值。</w:t>
            </w:r>
          </w:p>
          <w:p w:rsidR="008F0302" w:rsidRDefault="008F0302" w:rsidP="008F0302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2、自动CT密度分析功能：可在CT扫描中唯一识别每种材料，并通过分析软件自动生成CT电子密度表。</w:t>
            </w:r>
          </w:p>
          <w:p w:rsidR="008F0302" w:rsidRDefault="008F0302" w:rsidP="008F0302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3、模体直径≥30.0cm,支持锥束CT和扇束CT扫描仪的评估，可移动部分支持头部和小孩身体协议。</w:t>
            </w:r>
          </w:p>
          <w:p w:rsidR="008F0302" w:rsidRDefault="008F0302" w:rsidP="008F0302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4、组织等效性：模体底座和杆状体符合人体组织密度的医疗标准ICRU-44和ICRP，确保输入患者的能量计算是高度精确的。</w:t>
            </w:r>
          </w:p>
          <w:p w:rsidR="008F0302" w:rsidRDefault="008F0302" w:rsidP="008F0302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5、兼容性：可兼容任何型号电离室。</w:t>
            </w:r>
          </w:p>
          <w:p w:rsidR="008F0302" w:rsidRDefault="008F0302" w:rsidP="008F0302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6、自动分析：配置分析软件可自动识别CT扫描中的杆并转换值。并可以将结果导出到CSV或Excel。</w:t>
            </w:r>
          </w:p>
          <w:p w:rsidR="008F0302" w:rsidRDefault="008F0302" w:rsidP="008F0302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7、平面内尺寸:≥40.0cm×30.0cm。</w:t>
            </w:r>
          </w:p>
          <w:p w:rsidR="008F0302" w:rsidRDefault="008F0302" w:rsidP="008F0302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8、可替换插件≥16个，包括但不限于：CT等效固体水插棒4个、肺插件2个、脂肪插件1个、乳房插件1个、脑插件1个、肝插件1个、骨插件2个、皮质骨插件1个、内骨插件1个、纯水插件2个。</w:t>
            </w:r>
          </w:p>
          <w:p w:rsidR="008F0302" w:rsidRDefault="008F0302" w:rsidP="008F0302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9、配置分析软件及工作站1套。</w:t>
            </w:r>
          </w:p>
        </w:tc>
      </w:tr>
    </w:tbl>
    <w:p w:rsidR="00AF2726" w:rsidRDefault="00AF2726"/>
    <w:sectPr w:rsidR="00AF2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726" w:rsidRDefault="00AF2726" w:rsidP="008F0302">
      <w:r>
        <w:separator/>
      </w:r>
    </w:p>
  </w:endnote>
  <w:endnote w:type="continuationSeparator" w:id="1">
    <w:p w:rsidR="00AF2726" w:rsidRDefault="00AF2726" w:rsidP="008F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726" w:rsidRDefault="00AF2726" w:rsidP="008F0302">
      <w:r>
        <w:separator/>
      </w:r>
    </w:p>
  </w:footnote>
  <w:footnote w:type="continuationSeparator" w:id="1">
    <w:p w:rsidR="00AF2726" w:rsidRDefault="00AF2726" w:rsidP="008F03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302"/>
    <w:rsid w:val="008F0302"/>
    <w:rsid w:val="00AF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03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0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0302"/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rsid w:val="008F0302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table" w:styleId="a6">
    <w:name w:val="Table Grid"/>
    <w:basedOn w:val="a1"/>
    <w:autoRedefine/>
    <w:qFormat/>
    <w:rsid w:val="008F03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autoRedefine/>
    <w:uiPriority w:val="1"/>
    <w:qFormat/>
    <w:rsid w:val="008F0302"/>
    <w:pPr>
      <w:autoSpaceDE w:val="0"/>
      <w:autoSpaceDN w:val="0"/>
      <w:ind w:left="1481" w:hanging="703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2024-10-09T12:19:00Z</dcterms:created>
  <dcterms:modified xsi:type="dcterms:W3CDTF">2024-10-09T12:20:00Z</dcterms:modified>
</cp:coreProperties>
</file>